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80" w:rsidRPr="00B241F9" w:rsidRDefault="00C224B5" w:rsidP="005A44FC">
      <w:pPr>
        <w:jc w:val="both"/>
        <w:rPr>
          <w:b/>
          <w:sz w:val="28"/>
        </w:rPr>
      </w:pPr>
      <w:r w:rsidRPr="00B241F9">
        <w:rPr>
          <w:b/>
          <w:sz w:val="28"/>
        </w:rPr>
        <w:t xml:space="preserve">Underway pH </w:t>
      </w:r>
    </w:p>
    <w:p w:rsidR="000D3C33" w:rsidRPr="0011617D" w:rsidRDefault="00C224B5" w:rsidP="005A44FC">
      <w:pPr>
        <w:jc w:val="both"/>
      </w:pPr>
      <w:r>
        <w:tab/>
      </w:r>
      <w:r w:rsidR="00661399">
        <w:t xml:space="preserve">An automated underway pH system was operated in the hydro lab of the R/V </w:t>
      </w:r>
      <w:r w:rsidR="00661399">
        <w:rPr>
          <w:i/>
        </w:rPr>
        <w:t>Ronald H. Brown</w:t>
      </w:r>
      <w:r w:rsidR="00661399">
        <w:t xml:space="preserve"> during </w:t>
      </w:r>
      <w:r w:rsidR="000D3C33">
        <w:t>the A13.5 cruise in 2010</w:t>
      </w:r>
      <w:r w:rsidR="00661399">
        <w:t xml:space="preserve">. </w:t>
      </w:r>
      <w:proofErr w:type="gramStart"/>
      <w:r>
        <w:t>pH</w:t>
      </w:r>
      <w:proofErr w:type="gramEnd"/>
      <w:r>
        <w:t xml:space="preserve"> was measured every 30 seconds using a </w:t>
      </w:r>
      <w:proofErr w:type="spellStart"/>
      <w:r>
        <w:t>Durafet</w:t>
      </w:r>
      <w:proofErr w:type="spellEnd"/>
      <w:r>
        <w:t xml:space="preserve"> III pH </w:t>
      </w:r>
      <w:r w:rsidR="00710960">
        <w:t xml:space="preserve">combination </w:t>
      </w:r>
      <w:r>
        <w:t>electrode and an Orion Chloride Ion Selective Electrode (Cl-ISE).</w:t>
      </w:r>
      <w:r w:rsidRPr="00C224B5">
        <w:t xml:space="preserve"> </w:t>
      </w:r>
      <w:r>
        <w:t xml:space="preserve">This combination allows for the calculation of pH using two reference electrodes: the internal reference electrode of the </w:t>
      </w:r>
      <w:proofErr w:type="spellStart"/>
      <w:r>
        <w:t>Durafet</w:t>
      </w:r>
      <w:proofErr w:type="spellEnd"/>
      <w:r>
        <w:t xml:space="preserve"> (</w:t>
      </w:r>
      <w:proofErr w:type="spellStart"/>
      <w:r>
        <w:t>pH</w:t>
      </w:r>
      <w:r>
        <w:rPr>
          <w:vertAlign w:val="subscript"/>
        </w:rPr>
        <w:t>int</w:t>
      </w:r>
      <w:proofErr w:type="spellEnd"/>
      <w:r>
        <w:t>) and the Cl-ISE directly submersed in seawater (</w:t>
      </w:r>
      <w:proofErr w:type="spellStart"/>
      <w:r>
        <w:t>pH</w:t>
      </w:r>
      <w:r>
        <w:rPr>
          <w:vertAlign w:val="subscript"/>
        </w:rPr>
        <w:t>ext</w:t>
      </w:r>
      <w:proofErr w:type="spellEnd"/>
      <w:r>
        <w:t>).</w:t>
      </w:r>
      <w:r w:rsidR="00710960">
        <w:t xml:space="preserve"> </w:t>
      </w:r>
      <w:proofErr w:type="gramStart"/>
      <w:r w:rsidR="00BF2DA4">
        <w:t>pH</w:t>
      </w:r>
      <w:proofErr w:type="gramEnd"/>
      <w:r w:rsidR="00BF2DA4">
        <w:t xml:space="preserve"> is reported on 30 second intervals to provide the maximum flexibility for assessing precision and capturing small scale features in the ocean. </w:t>
      </w:r>
      <w:r w:rsidR="000D3C33">
        <w:t xml:space="preserve">Seawater continually flowed through a </w:t>
      </w:r>
      <w:proofErr w:type="spellStart"/>
      <w:r w:rsidR="000D3C33">
        <w:t>flowcell</w:t>
      </w:r>
      <w:proofErr w:type="spellEnd"/>
      <w:r w:rsidR="000D3C33">
        <w:t xml:space="preserve"> that housed the </w:t>
      </w:r>
      <w:proofErr w:type="spellStart"/>
      <w:r w:rsidR="000D3C33">
        <w:t>Durafet</w:t>
      </w:r>
      <w:proofErr w:type="spellEnd"/>
      <w:r w:rsidR="000D3C33">
        <w:t xml:space="preserve"> and Cl-ISE, then a SBE45 Micro </w:t>
      </w:r>
      <w:proofErr w:type="spellStart"/>
      <w:r w:rsidR="000D3C33">
        <w:t>Thermosalinograph</w:t>
      </w:r>
      <w:proofErr w:type="spellEnd"/>
      <w:r w:rsidR="000D3C33">
        <w:t xml:space="preserve">. The temperature inside the </w:t>
      </w:r>
      <w:proofErr w:type="spellStart"/>
      <w:r w:rsidR="000D3C33">
        <w:t>flowcell</w:t>
      </w:r>
      <w:proofErr w:type="spellEnd"/>
      <w:r w:rsidR="000D3C33">
        <w:t xml:space="preserve"> was assumed to be the </w:t>
      </w:r>
      <w:r w:rsidR="002803C8">
        <w:t>same as the SBE45. The salinity measurements from the SBE45 were not reliable on this cruise (based on comparisons with discrete bottle samples)</w:t>
      </w:r>
      <w:proofErr w:type="gramStart"/>
      <w:r w:rsidR="002803C8">
        <w:t>,</w:t>
      </w:r>
      <w:proofErr w:type="gramEnd"/>
      <w:r w:rsidR="002803C8">
        <w:t xml:space="preserve"> therefore salinity from the </w:t>
      </w:r>
      <w:r w:rsidR="00A2267B">
        <w:t xml:space="preserve">SBE45 located next to the </w:t>
      </w:r>
      <w:r w:rsidR="002803C8">
        <w:t xml:space="preserve">underway </w:t>
      </w:r>
      <w:r w:rsidR="002803C8" w:rsidRPr="00A2267B">
        <w:rPr>
          <w:i/>
        </w:rPr>
        <w:t>f</w:t>
      </w:r>
      <w:r w:rsidR="002803C8">
        <w:t>CO</w:t>
      </w:r>
      <w:r w:rsidR="002803C8">
        <w:rPr>
          <w:vertAlign w:val="subscript"/>
        </w:rPr>
        <w:t>2</w:t>
      </w:r>
      <w:r w:rsidR="002803C8">
        <w:t xml:space="preserve"> system [</w:t>
      </w:r>
      <w:proofErr w:type="spellStart"/>
      <w:r w:rsidR="002803C8" w:rsidRPr="005A44FC">
        <w:rPr>
          <w:i/>
        </w:rPr>
        <w:t>Wanninkhof</w:t>
      </w:r>
      <w:proofErr w:type="spellEnd"/>
      <w:r w:rsidR="002803C8">
        <w:t xml:space="preserve">, 2012] was interpolated onto the pH time stamp. Latitude, longitude, and sea surface temperature (SST) were also interpolated from the underway </w:t>
      </w:r>
      <w:r w:rsidR="002803C8" w:rsidRPr="00A2267B">
        <w:rPr>
          <w:i/>
        </w:rPr>
        <w:t>f</w:t>
      </w:r>
      <w:r w:rsidR="002803C8">
        <w:t>CO</w:t>
      </w:r>
      <w:r w:rsidR="002803C8">
        <w:rPr>
          <w:vertAlign w:val="subscript"/>
        </w:rPr>
        <w:t>2</w:t>
      </w:r>
      <w:r w:rsidR="002803C8">
        <w:t xml:space="preserve"> </w:t>
      </w:r>
      <w:r w:rsidR="00A2267B">
        <w:t>data set</w:t>
      </w:r>
      <w:r w:rsidR="002803C8">
        <w:t xml:space="preserve">. </w:t>
      </w:r>
      <w:r w:rsidR="0013167B">
        <w:t xml:space="preserve">All pH is reported on the total scale, and at SST. </w:t>
      </w:r>
      <w:r w:rsidR="00675279">
        <w:t xml:space="preserve">All data reported here are considered “good”. </w:t>
      </w:r>
      <w:r w:rsidR="00195E9F">
        <w:t xml:space="preserve">We recommend the use of </w:t>
      </w:r>
      <w:proofErr w:type="spellStart"/>
      <w:r w:rsidR="00195E9F">
        <w:t>pH</w:t>
      </w:r>
      <w:r w:rsidR="00195E9F">
        <w:rPr>
          <w:vertAlign w:val="subscript"/>
        </w:rPr>
        <w:t>ext</w:t>
      </w:r>
      <w:proofErr w:type="spellEnd"/>
      <w:r w:rsidR="00195E9F">
        <w:t xml:space="preserve">, as we believe this is more accurate than </w:t>
      </w:r>
      <w:proofErr w:type="spellStart"/>
      <w:r w:rsidR="00195E9F">
        <w:t>pH</w:t>
      </w:r>
      <w:r w:rsidR="00195E9F">
        <w:rPr>
          <w:vertAlign w:val="subscript"/>
        </w:rPr>
        <w:t>int</w:t>
      </w:r>
      <w:proofErr w:type="spellEnd"/>
      <w:r w:rsidR="00195E9F">
        <w:t xml:space="preserve">. </w:t>
      </w:r>
      <w:bookmarkStart w:id="0" w:name="_GoBack"/>
      <w:bookmarkEnd w:id="0"/>
    </w:p>
    <w:p w:rsidR="002803C8" w:rsidRDefault="00710960" w:rsidP="005A44FC">
      <w:pPr>
        <w:ind w:firstLine="720"/>
        <w:jc w:val="both"/>
      </w:pPr>
      <w:r>
        <w:t xml:space="preserve">Details on the sensor theory and calculations can be found in </w:t>
      </w:r>
      <w:r>
        <w:fldChar w:fldCharType="begin" w:fldLock="1"/>
      </w:r>
      <w:r w:rsidR="00B241F9">
        <w:instrText>ADDIN CSL_CITATION { "citationItems" : [ { "id" : "ITEM-1", "itemData" : { "DOI" : "10.4319/lom.2010.8.172", "ISSN" : "15415856", "author" : [ { "dropping-particle" : "", "family" : "Martz", "given" : "Todd R.", "non-dropping-particle" : "", "parse-names" : false, "suffix" : "" }, { "dropping-particle" : "", "family" : "Connery", "given" : "James G.", "non-dropping-particle" : "", "parse-names" : false, "suffix" : "" }, { "dropping-particle" : "", "family" : "Johnson", "given" : "Kenneth S.", "non-dropping-particle" : "", "parse-names" : false, "suffix" : "" } ], "container-title" : "Limnology and Oceanography: Methods", "id" : "ITEM-1", "issued" : { "date-parts" : [ [ "2010" ] ] }, "page" : "172-184", "title" : "Testing the Honeywell Durafet for seawater pH applications", "type" : "article-journal", "volume" : "8" }, "uris" : [ "http://www.mendeley.com/documents/?uuid=4721899e-5d0a-453d-9574-93a152e7a1eb" ] }, { "id" : "ITEM-2", "itemData" : { "author" : [ { "dropping-particle" : "", "family" : "Bresnahan", "given" : "Philip J.", "non-dropping-particle" : "", "parse-names" : false, "suffix" : "" }, { "dropping-particle" : "", "family" : "Martz", "given" : "Todd R.", "non-dropping-particle" : "", "parse-names" : false, "suffix" : "" }, { "dropping-particle" : "", "family" : "Takeshita", "given" : "Yuichiro", "non-dropping-particle" : "", "parse-names" : false, "suffix" : "" }, { "dropping-particle" : "", "family" : "Johnson", "given" : "Kenneth S.", "non-dropping-particle" : "", "parse-names" : false, "suffix" : "" }, { "dropping-particle" : "", "family" : "LaShomb", "given" : "Makaila", "non-dropping-particle" : "", "parse-names" : false, "suffix" : "" } ], "container-title" : "Methods in Oceanography", "id" : "ITEM-2", "issued" : { "date-parts" : [ [ "2014" ] ] }, "page" : "44-60", "title" : "Best practices for autonomous measurement of seawater pH with the Honeywell Durafet", "type" : "article-journal", "volume" : "9" }, "uris" : [ "http://www.mendeley.com/documents/?uuid=3a45c627-e251-451a-9931-31fdc78779d4" ] } ], "mendeley" : { "formattedCitation" : "[&lt;i&gt;Martz et al.&lt;/i&gt;, 2010; &lt;i&gt;Bresnahan et al.&lt;/i&gt;, 2014]", "plainTextFormattedCitation" : "[Martz et al., 2010; Bresnahan et al., 2014]", "previouslyFormattedCitation" : "[&lt;i&gt;Martz et al.&lt;/i&gt;, 2010; &lt;i&gt;Bresnahan et al.&lt;/i&gt;, 2014]" }, "properties" : { "noteIndex" : 0 }, "schema" : "https://github.com/citation-style-language/schema/raw/master/csl-citation.json" }</w:instrText>
      </w:r>
      <w:r>
        <w:fldChar w:fldCharType="separate"/>
      </w:r>
      <w:r w:rsidRPr="00710960">
        <w:rPr>
          <w:noProof/>
        </w:rPr>
        <w:t>[</w:t>
      </w:r>
      <w:r w:rsidRPr="00710960">
        <w:rPr>
          <w:i/>
          <w:noProof/>
        </w:rPr>
        <w:t>Martz et al.</w:t>
      </w:r>
      <w:r w:rsidRPr="00710960">
        <w:rPr>
          <w:noProof/>
        </w:rPr>
        <w:t xml:space="preserve">, 2010; </w:t>
      </w:r>
      <w:r w:rsidRPr="00710960">
        <w:rPr>
          <w:i/>
          <w:noProof/>
        </w:rPr>
        <w:t>Bresnahan et al.</w:t>
      </w:r>
      <w:r w:rsidRPr="00710960">
        <w:rPr>
          <w:noProof/>
        </w:rPr>
        <w:t>, 2014]</w:t>
      </w:r>
      <w:r>
        <w:fldChar w:fldCharType="end"/>
      </w:r>
      <w:r w:rsidR="00C60230">
        <w:t>, but will be briefly described here.</w:t>
      </w:r>
      <w:r w:rsidR="002803C8">
        <w:t xml:space="preserve"> Computation of </w:t>
      </w:r>
      <w:proofErr w:type="spellStart"/>
      <w:r w:rsidR="002803C8">
        <w:t>pH</w:t>
      </w:r>
      <w:r w:rsidR="002803C8">
        <w:rPr>
          <w:vertAlign w:val="subscript"/>
        </w:rPr>
        <w:t>ext</w:t>
      </w:r>
      <w:proofErr w:type="spellEnd"/>
      <w:r w:rsidR="002803C8">
        <w:t xml:space="preserve"> requires knowledge of two sensor calibration coefficients, the sensor reference potential at 0 °C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(E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ext,0°C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)</m:t>
        </m:r>
      </m:oMath>
      <w:r w:rsidR="002803C8">
        <w:t xml:space="preserve"> and the temperature </w:t>
      </w:r>
      <w:proofErr w:type="gramStart"/>
      <w:r w:rsidR="002803C8">
        <w:t xml:space="preserve">coefficient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</m:oMath>
      <w:r w:rsidR="002803C8"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010"/>
        <w:gridCol w:w="828"/>
      </w:tblGrid>
      <w:tr w:rsidR="002803C8" w:rsidRPr="002367C8" w:rsidTr="00CC51DC">
        <w:trPr>
          <w:jc w:val="center"/>
        </w:trPr>
        <w:tc>
          <w:tcPr>
            <w:tcW w:w="738" w:type="dxa"/>
            <w:vAlign w:val="center"/>
          </w:tcPr>
          <w:p w:rsidR="002803C8" w:rsidRPr="002367C8" w:rsidRDefault="002803C8" w:rsidP="005A44FC">
            <w:pPr>
              <w:pStyle w:val="TableText"/>
              <w:jc w:val="both"/>
            </w:pPr>
          </w:p>
        </w:tc>
        <w:tc>
          <w:tcPr>
            <w:tcW w:w="8010" w:type="dxa"/>
          </w:tcPr>
          <w:p w:rsidR="002803C8" w:rsidRPr="00783DB2" w:rsidRDefault="0011617D" w:rsidP="005A44FC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ext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ext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</w:rPr>
                      <m:t>+S×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log⁡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828" w:type="dxa"/>
            <w:vAlign w:val="center"/>
          </w:tcPr>
          <w:p w:rsidR="002803C8" w:rsidRPr="002367C8" w:rsidRDefault="002803C8" w:rsidP="005A44FC">
            <w:pPr>
              <w:pStyle w:val="TableText"/>
              <w:jc w:val="both"/>
            </w:pPr>
            <w:bookmarkStart w:id="1" w:name="_Ref473629326"/>
            <w:bookmarkStart w:id="2" w:name="_Ref473629320"/>
            <w:r w:rsidRPr="002367C8">
              <w:t>(</w:t>
            </w:r>
            <w:fldSimple w:instr=" SEQ Equation \* ARABIC ">
              <w:r>
                <w:rPr>
                  <w:noProof/>
                </w:rPr>
                <w:t>1</w:t>
              </w:r>
            </w:fldSimple>
            <w:bookmarkEnd w:id="1"/>
            <w:r w:rsidRPr="002367C8">
              <w:t>)</w:t>
            </w:r>
            <w:bookmarkEnd w:id="2"/>
          </w:p>
        </w:tc>
      </w:tr>
      <w:tr w:rsidR="002803C8" w:rsidRPr="002367C8" w:rsidTr="00CC51DC">
        <w:trPr>
          <w:jc w:val="center"/>
        </w:trPr>
        <w:tc>
          <w:tcPr>
            <w:tcW w:w="738" w:type="dxa"/>
            <w:vAlign w:val="center"/>
          </w:tcPr>
          <w:p w:rsidR="002803C8" w:rsidRPr="002367C8" w:rsidRDefault="002803C8" w:rsidP="005A44FC">
            <w:pPr>
              <w:pStyle w:val="TableText"/>
              <w:jc w:val="both"/>
            </w:pPr>
          </w:p>
        </w:tc>
        <w:tc>
          <w:tcPr>
            <w:tcW w:w="8010" w:type="dxa"/>
          </w:tcPr>
          <w:p w:rsidR="002803C8" w:rsidRPr="00783DB2" w:rsidRDefault="0011617D" w:rsidP="005A44FC">
            <w:pPr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ext,0°C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ext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828" w:type="dxa"/>
            <w:vAlign w:val="center"/>
          </w:tcPr>
          <w:p w:rsidR="002803C8" w:rsidRPr="002367C8" w:rsidRDefault="002803C8" w:rsidP="005A44FC">
            <w:pPr>
              <w:pStyle w:val="TableText"/>
              <w:jc w:val="both"/>
            </w:pPr>
            <w:r w:rsidRPr="002367C8">
              <w:t>(</w:t>
            </w:r>
            <w:fldSimple w:instr=" SEQ Equation \* ARABIC ">
              <w:r>
                <w:rPr>
                  <w:noProof/>
                </w:rPr>
                <w:t>2</w:t>
              </w:r>
            </w:fldSimple>
            <w:r w:rsidRPr="002367C8">
              <w:t>)</w:t>
            </w:r>
          </w:p>
        </w:tc>
      </w:tr>
    </w:tbl>
    <w:p w:rsidR="002803C8" w:rsidRDefault="002803C8" w:rsidP="005A44FC">
      <w:pPr>
        <w:jc w:val="both"/>
      </w:pPr>
      <w:r>
        <w:t xml:space="preserve">where </w:t>
      </w:r>
      <w:proofErr w:type="spellStart"/>
      <w:r w:rsidRPr="008421C3">
        <w:rPr>
          <w:i/>
        </w:rPr>
        <w:t>E</w:t>
      </w:r>
      <w:r>
        <w:rPr>
          <w:vertAlign w:val="subscript"/>
        </w:rPr>
        <w:t>ext</w:t>
      </w:r>
      <w:proofErr w:type="spellEnd"/>
      <w:r>
        <w:t xml:space="preserve"> is the electromotive force between the ISFET and the Cl-ISE,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ext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is the reference potential at in situ temperature, </w:t>
      </w:r>
      <w:r w:rsidRPr="006919D4">
        <w:rPr>
          <w:i/>
        </w:rPr>
        <w:t>T</w:t>
      </w:r>
      <w:r>
        <w:t xml:space="preserve"> is temperature in Celsius,</w:t>
      </w:r>
      <w:r>
        <w:rPr>
          <w:rFonts w:cs="Times New Roman"/>
        </w:rPr>
        <w:t xml:space="preserve"> γ</w:t>
      </w:r>
      <w:r>
        <w:t xml:space="preserve"> is the activity coefficient of the respective ions, </w:t>
      </w:r>
      <w:proofErr w:type="spellStart"/>
      <w:r w:rsidRPr="008421C3">
        <w:rPr>
          <w:i/>
        </w:rPr>
        <w:t>m</w:t>
      </w:r>
      <w:r>
        <w:rPr>
          <w:vertAlign w:val="subscript"/>
        </w:rPr>
        <w:t>Cl</w:t>
      </w:r>
      <w:proofErr w:type="spellEnd"/>
      <w:r>
        <w:t xml:space="preserve"> is the molality of chloride, and </w:t>
      </w:r>
      <w:r w:rsidRPr="008421C3">
        <w:rPr>
          <w:i/>
        </w:rPr>
        <w:t>S</w:t>
      </w:r>
      <w:r>
        <w:t xml:space="preserve"> = </w:t>
      </w:r>
      <w:proofErr w:type="spellStart"/>
      <w:r w:rsidRPr="008421C3">
        <w:rPr>
          <w:i/>
        </w:rPr>
        <w:t>R</w:t>
      </w:r>
      <w:r>
        <w:rPr>
          <w:rFonts w:cs="Times New Roman"/>
        </w:rPr>
        <w:t>×</w:t>
      </w:r>
      <w:r w:rsidRPr="008421C3">
        <w:rPr>
          <w:i/>
        </w:rPr>
        <w:t>T</w:t>
      </w:r>
      <w:r>
        <w:rPr>
          <w:vertAlign w:val="subscript"/>
        </w:rPr>
        <w:t>K</w:t>
      </w:r>
      <w:r>
        <w:rPr>
          <w:rFonts w:cs="Times New Roman"/>
        </w:rPr>
        <w:t>×</w:t>
      </w:r>
      <w:proofErr w:type="gramStart"/>
      <w:r>
        <w:t>ln</w:t>
      </w:r>
      <w:proofErr w:type="spellEnd"/>
      <w:r>
        <w:t>(</w:t>
      </w:r>
      <w:proofErr w:type="gramEnd"/>
      <w:r>
        <w:t>10)/</w:t>
      </w:r>
      <w:r w:rsidRPr="008421C3">
        <w:rPr>
          <w:i/>
        </w:rPr>
        <w:t>F</w:t>
      </w:r>
      <w:r>
        <w:t xml:space="preserve"> (</w:t>
      </w:r>
      <w:r w:rsidRPr="008B1562">
        <w:rPr>
          <w:i/>
        </w:rPr>
        <w:t>R</w:t>
      </w:r>
      <w:r>
        <w:t xml:space="preserve"> is the universal gas constant 8.3145 J K</w:t>
      </w:r>
      <w:r>
        <w:rPr>
          <w:vertAlign w:val="superscript"/>
        </w:rPr>
        <w:t>-1</w:t>
      </w:r>
      <w:r>
        <w:t xml:space="preserve"> mol</w:t>
      </w:r>
      <w:r>
        <w:rPr>
          <w:vertAlign w:val="superscript"/>
        </w:rPr>
        <w:t>-1</w:t>
      </w:r>
      <w:r>
        <w:t xml:space="preserve">, </w:t>
      </w:r>
      <w:r w:rsidRPr="008B1562">
        <w:rPr>
          <w:i/>
        </w:rPr>
        <w:t>T</w:t>
      </w:r>
      <w:r>
        <w:rPr>
          <w:vertAlign w:val="subscript"/>
        </w:rPr>
        <w:t>K</w:t>
      </w:r>
      <w:r>
        <w:t xml:space="preserve"> is temperature in Kelvin, and </w:t>
      </w:r>
      <w:r w:rsidRPr="008B1562">
        <w:rPr>
          <w:i/>
        </w:rPr>
        <w:t>F</w:t>
      </w:r>
      <w:r>
        <w:t xml:space="preserve"> is the Faraday constant 96485 C mol</w:t>
      </w:r>
      <w:r>
        <w:rPr>
          <w:vertAlign w:val="superscript"/>
        </w:rPr>
        <w:t>-1</w:t>
      </w:r>
      <w:r>
        <w:t xml:space="preserve">). 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sub>
        </m:sSub>
      </m:oMath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sub>
        </m:sSub>
      </m:oMath>
      <w:r>
        <w:t xml:space="preserve"> are calculated from measurements of temperature and salinity </w:t>
      </w:r>
      <w:r>
        <w:fldChar w:fldCharType="begin" w:fldLock="1"/>
      </w:r>
      <w:r>
        <w:instrText>ADDIN CSL_CITATION { "citationItems" : [ { "id" : "ITEM-1", "itemData" : { "DOI" : "10.1021/ac50009a016", "ISSN" : "0003-2700", "author" : [ { "dropping-particle" : "", "family" : "Khoo", "given" : "K. H.", "non-dropping-particle" : "", "parse-names" : false, "suffix" : "" }, { "dropping-particle" : "", "family" : "Ramette", "given" : "Richard W.", "non-dropping-particle" : "", "parse-names" : false, "suffix" : "" }, { "dropping-particle" : "", "family" : "Culberson", "given" : "Charles H.", "non-dropping-particle" : "", "parse-names" : false, "suffix" : "" }, { "dropping-particle" : "", "family" : "Bates", "given" : "Roger G.", "non-dropping-particle" : "", "parse-names" : false, "suffix" : "" } ], "container-title" : "Analytical Chemistry", "id" : "ITEM-1", "issue" : "1", "issued" : { "date-parts" : [ [ "1977", "1" ] ] }, "page" : "29-34", "title" : "Determination of hydrogen ion concentrations in seawater from 5 to 40.degree.C: standard potentials at salinities from 20 to 45%", "type" : "article-journal", "volume" : "49" }, "uris" : [ "http://www.mendeley.com/documents/?uuid=3c98b6c9-1532-482a-9be2-1a0b9e10568c" ] }, { "id" : "ITEM-2", "itemData" : { "editor" : [ { "dropping-particle" : "", "family" : "Dickson", "given" : "Andrew G.", "non-dropping-particle" : "", "parse-names" : false, "suffix" : "" }, { "dropping-particle" : "", "family" : "Sabine", "given" : "Christopher L.", "non-dropping-particle" : "", "parse-names" : false, "suffix" : "" }, { "dropping-particle" : "", "family" : "Christian", "given" : "James R.", "non-dropping-particle" : "", "parse-names" : false, "suffix" : "" } ], "id" : "ITEM-2", "issued" : { "date-parts" : [ [ "2007" ] ] }, "number-of-pages" : "191", "publisher" : "PICES Special Publication 3", "title" : "Guide to best practices for ocean CO2 measurements", "type" : "book" }, "uris" : [ "http://www.mendeley.com/documents/?uuid=e1404f81-2b9c-4d3b-a010-43163e275ece" ] }, { "id" : "ITEM-3", "itemData" : { "DOI" : "10.4319/lom.2010.8.172", "ISSN" : "15415856", "author" : [ { "dropping-particle" : "", "family" : "Martz", "given" : "Todd R.", "non-dropping-particle" : "", "parse-names" : false, "suffix" : "" }, { "dropping-particle" : "", "family" : "Connery", "given" : "James G.", "non-dropping-particle" : "", "parse-names" : false, "suffix" : "" }, { "dropping-particle" : "", "family" : "Johnson", "given" : "Kenneth S.", "non-dropping-particle" : "", "parse-names" : false, "suffix" : "" } ], "container-title" : "Limnology and Oceanography: Methods", "id" : "ITEM-3", "issued" : { "date-parts" : [ [ "2010" ] ] }, "page" : "172-184", "title" : "Testing the Honeywell Durafet for seawater pH applications", "type" : "article-journal", "volume" : "8" }, "uris" : [ "http://www.mendeley.com/documents/?uuid=4721899e-5d0a-453d-9574-93a152e7a1eb" ] } ], "mendeley" : { "formattedCitation" : "[&lt;i&gt;Khoo et al.&lt;/i&gt;, 1977; &lt;i&gt;Dickson et al.&lt;/i&gt;, 2007; &lt;i&gt;Martz et al.&lt;/i&gt;, 2010]", "plainTextFormattedCitation" : "[Khoo et al., 1977; Dickson et al., 2007; Martz et al., 2010]", "previouslyFormattedCitation" : "[&lt;i&gt;Khoo et al.&lt;/i&gt;, 1977; &lt;i&gt;Dickson et al.&lt;/i&gt;, 2007; &lt;i&gt;Martz et al.&lt;/i&gt;, 2010]" }, "properties" : { "noteIndex" : 0 }, "schema" : "https://github.com/citation-style-language/schema/raw/master/csl-citation.json" }</w:instrText>
      </w:r>
      <w:r>
        <w:fldChar w:fldCharType="separate"/>
      </w:r>
      <w:r w:rsidRPr="004C031A">
        <w:rPr>
          <w:noProof/>
        </w:rPr>
        <w:t>[</w:t>
      </w:r>
      <w:r w:rsidRPr="004C031A">
        <w:rPr>
          <w:i/>
          <w:noProof/>
        </w:rPr>
        <w:t>Khoo et al.</w:t>
      </w:r>
      <w:r w:rsidRPr="004C031A">
        <w:rPr>
          <w:noProof/>
        </w:rPr>
        <w:t xml:space="preserve">, 1977; </w:t>
      </w:r>
      <w:r w:rsidRPr="004C031A">
        <w:rPr>
          <w:i/>
          <w:noProof/>
        </w:rPr>
        <w:t>Dickson et al.</w:t>
      </w:r>
      <w:r w:rsidRPr="004C031A">
        <w:rPr>
          <w:noProof/>
        </w:rPr>
        <w:t xml:space="preserve">, 2007; </w:t>
      </w:r>
      <w:r w:rsidRPr="004C031A">
        <w:rPr>
          <w:i/>
          <w:noProof/>
        </w:rPr>
        <w:t>Martz et al.</w:t>
      </w:r>
      <w:r w:rsidRPr="004C031A">
        <w:rPr>
          <w:noProof/>
        </w:rPr>
        <w:t>, 2010]</w:t>
      </w:r>
      <w:r>
        <w:fldChar w:fldCharType="end"/>
      </w:r>
      <w:r>
        <w:t xml:space="preserve">. A linear regression between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ext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and </w:t>
      </w:r>
      <w:proofErr w:type="spellStart"/>
      <w:r w:rsidRPr="006919D4">
        <w:rPr>
          <w:i/>
        </w:rPr>
        <w:t>T</w:t>
      </w:r>
      <w:proofErr w:type="spellEnd"/>
      <w:r>
        <w:t xml:space="preserve"> gives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ext,0°C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(intercept)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ext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 xml:space="preserve"> (slope).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ext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76903">
        <w:t xml:space="preserve"> </w:t>
      </w:r>
      <w:proofErr w:type="gramStart"/>
      <w:r w:rsidR="00B76903">
        <w:t>was</w:t>
      </w:r>
      <w:proofErr w:type="gramEnd"/>
      <w:r w:rsidR="00B76903">
        <w:t xml:space="preserve"> determined to be -957 </w:t>
      </w:r>
      <w:r w:rsidR="00B76903">
        <w:rPr>
          <w:rFonts w:cs="Times New Roman"/>
        </w:rPr>
        <w:t>± 8 (95% CI) µV °C</w:t>
      </w:r>
      <w:r w:rsidR="00B76903">
        <w:rPr>
          <w:rFonts w:cs="Times New Roman"/>
          <w:vertAlign w:val="superscript"/>
        </w:rPr>
        <w:t>-1</w:t>
      </w:r>
      <w:r w:rsidR="00B76903">
        <w:rPr>
          <w:rFonts w:cs="Times New Roman"/>
        </w:rPr>
        <w:t>.</w:t>
      </w:r>
    </w:p>
    <w:p w:rsidR="002803C8" w:rsidRPr="00360401" w:rsidRDefault="002803C8" w:rsidP="005A44FC">
      <w:pPr>
        <w:ind w:firstLine="720"/>
        <w:jc w:val="both"/>
      </w:pPr>
      <w:r>
        <w:t xml:space="preserve">Computation of </w:t>
      </w:r>
      <w:proofErr w:type="spellStart"/>
      <w:r>
        <w:t>pHint</w:t>
      </w:r>
      <w:proofErr w:type="spellEnd"/>
      <w:r>
        <w:t xml:space="preserve"> requires knowledge of two sensor calibration coefficients, the sensor reference potential at 0 °C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(E</m:t>
            </m:r>
          </m:e>
          <m:sub>
            <m:r>
              <w:rPr>
                <w:rFonts w:ascii="Cambria Math" w:hAnsi="Cambria Math"/>
              </w:rPr>
              <m:t>int</m:t>
            </m:r>
            <m:r>
              <m:rPr>
                <m:sty m:val="p"/>
              </m:rPr>
              <w:rPr>
                <w:rFonts w:ascii="Cambria Math" w:hAnsi="Cambria Math"/>
              </w:rPr>
              <m:t>,0°C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)</m:t>
        </m:r>
      </m:oMath>
      <w:r>
        <w:t xml:space="preserve"> and the temperature </w:t>
      </w:r>
      <w:proofErr w:type="gramStart"/>
      <w:r>
        <w:t xml:space="preserve">coefficient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</m:oMath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377"/>
        <w:gridCol w:w="796"/>
      </w:tblGrid>
      <w:tr w:rsidR="002803C8" w:rsidRPr="002367C8" w:rsidTr="00CC51DC">
        <w:trPr>
          <w:jc w:val="center"/>
        </w:trPr>
        <w:tc>
          <w:tcPr>
            <w:tcW w:w="686" w:type="dxa"/>
            <w:vAlign w:val="center"/>
          </w:tcPr>
          <w:p w:rsidR="002803C8" w:rsidRPr="002367C8" w:rsidRDefault="002803C8" w:rsidP="005A44FC">
            <w:pPr>
              <w:pStyle w:val="TableText"/>
              <w:jc w:val="both"/>
            </w:pPr>
          </w:p>
        </w:tc>
        <w:tc>
          <w:tcPr>
            <w:tcW w:w="7377" w:type="dxa"/>
          </w:tcPr>
          <w:p w:rsidR="002803C8" w:rsidRPr="002367C8" w:rsidRDefault="0011617D" w:rsidP="005A44FC">
            <w:pPr>
              <w:jc w:val="both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int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int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793" w:type="dxa"/>
            <w:vAlign w:val="center"/>
          </w:tcPr>
          <w:p w:rsidR="002803C8" w:rsidRPr="002367C8" w:rsidRDefault="002803C8" w:rsidP="005A44FC">
            <w:pPr>
              <w:pStyle w:val="TableText"/>
              <w:jc w:val="both"/>
            </w:pPr>
            <w:r w:rsidRPr="002367C8">
              <w:t>(</w:t>
            </w:r>
            <w:fldSimple w:instr=" SEQ Equation \* ARABIC ">
              <w:r w:rsidR="00B76903">
                <w:rPr>
                  <w:noProof/>
                </w:rPr>
                <w:t>3</w:t>
              </w:r>
            </w:fldSimple>
            <w:r w:rsidRPr="002367C8">
              <w:t>)</w:t>
            </w:r>
          </w:p>
        </w:tc>
      </w:tr>
      <w:tr w:rsidR="002803C8" w:rsidRPr="002367C8" w:rsidTr="00CC51DC">
        <w:trPr>
          <w:jc w:val="center"/>
        </w:trPr>
        <w:tc>
          <w:tcPr>
            <w:tcW w:w="689" w:type="dxa"/>
            <w:vAlign w:val="center"/>
          </w:tcPr>
          <w:p w:rsidR="002803C8" w:rsidRPr="002367C8" w:rsidRDefault="002803C8" w:rsidP="005A44FC">
            <w:pPr>
              <w:pStyle w:val="TableText"/>
              <w:jc w:val="both"/>
            </w:pPr>
          </w:p>
        </w:tc>
        <w:tc>
          <w:tcPr>
            <w:tcW w:w="7371" w:type="dxa"/>
          </w:tcPr>
          <w:p w:rsidR="002803C8" w:rsidRPr="002367C8" w:rsidRDefault="0011617D" w:rsidP="005A44FC">
            <w:pPr>
              <w:spacing w:before="120" w:after="120"/>
              <w:jc w:val="both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int,0°C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int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796" w:type="dxa"/>
            <w:vAlign w:val="center"/>
          </w:tcPr>
          <w:p w:rsidR="002803C8" w:rsidRPr="002367C8" w:rsidRDefault="002803C8" w:rsidP="005A44FC">
            <w:pPr>
              <w:pStyle w:val="TableText"/>
              <w:jc w:val="both"/>
            </w:pPr>
            <w:r w:rsidRPr="002367C8">
              <w:t>(</w:t>
            </w:r>
            <w:fldSimple w:instr=" SEQ Equation \* ARABIC ">
              <w:r w:rsidR="00B76903">
                <w:rPr>
                  <w:noProof/>
                </w:rPr>
                <w:t>4</w:t>
              </w:r>
            </w:fldSimple>
            <w:r w:rsidRPr="002367C8">
              <w:t>)</w:t>
            </w:r>
          </w:p>
        </w:tc>
      </w:tr>
    </w:tbl>
    <w:p w:rsidR="00C936B2" w:rsidRDefault="002803C8" w:rsidP="005A44FC">
      <w:pPr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 w:rsidRPr="008421C3">
        <w:rPr>
          <w:i/>
        </w:rPr>
        <w:t>E</w:t>
      </w:r>
      <w:r w:rsidRPr="00360401">
        <w:rPr>
          <w:vertAlign w:val="subscript"/>
        </w:rPr>
        <w:t>in</w:t>
      </w:r>
      <w:r>
        <w:rPr>
          <w:vertAlign w:val="subscript"/>
        </w:rPr>
        <w:t>t</w:t>
      </w:r>
      <w:proofErr w:type="spellEnd"/>
      <w:r>
        <w:t xml:space="preserve"> is the electromotive force between the ISFET and the internal reference electrode,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is the reference potential at in situ temperature, A linear regression between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int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and </w:t>
      </w:r>
      <w:proofErr w:type="spellStart"/>
      <w:r w:rsidRPr="006919D4">
        <w:rPr>
          <w:i/>
        </w:rPr>
        <w:t>T</w:t>
      </w:r>
      <w:proofErr w:type="spellEnd"/>
      <w:r>
        <w:t xml:space="preserve"> gives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int</m:t>
            </m:r>
            <m:r>
              <m:rPr>
                <m:sty m:val="p"/>
              </m:rPr>
              <w:rPr>
                <w:rFonts w:ascii="Cambria Math" w:hAnsi="Cambria Math"/>
              </w:rPr>
              <m:t>,0°C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(intercept)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int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 xml:space="preserve"> (slope).</w:t>
      </w:r>
      <w:r w:rsidR="00B7690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int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76903">
        <w:t xml:space="preserve"> </w:t>
      </w:r>
      <w:proofErr w:type="gramStart"/>
      <w:r w:rsidR="00B76903">
        <w:t>was</w:t>
      </w:r>
      <w:proofErr w:type="gramEnd"/>
      <w:r w:rsidR="00B76903">
        <w:t xml:space="preserve"> determined to be -1.127 ± 0.008 (95% CI) mV °C</w:t>
      </w:r>
      <w:r w:rsidR="00B76903">
        <w:rPr>
          <w:vertAlign w:val="superscript"/>
        </w:rPr>
        <w:t>-1</w:t>
      </w:r>
      <w:r w:rsidR="00B76903">
        <w:t>.</w:t>
      </w:r>
    </w:p>
    <w:p w:rsidR="00C936B2" w:rsidRDefault="00C936B2" w:rsidP="005A44FC">
      <w:pPr>
        <w:jc w:val="both"/>
      </w:pPr>
      <w:r>
        <w:tab/>
        <w:t xml:space="preserve">Both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rPr>
          <w:rFonts w:eastAsiaTheme="minorEastAsia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ext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rPr>
          <w:rFonts w:eastAsiaTheme="minorEastAsia"/>
        </w:rPr>
        <w:t xml:space="preserve"> can be calculated by </w:t>
      </w:r>
      <w:r>
        <w:t xml:space="preserve">measuring </w:t>
      </w:r>
      <w:proofErr w:type="spellStart"/>
      <w:r w:rsidRPr="008421C3">
        <w:rPr>
          <w:i/>
        </w:rPr>
        <w:t>E</w:t>
      </w:r>
      <w:r>
        <w:rPr>
          <w:vertAlign w:val="subscript"/>
        </w:rPr>
        <w:t>int</w:t>
      </w:r>
      <w:proofErr w:type="spellEnd"/>
      <w:r>
        <w:t xml:space="preserve"> or </w:t>
      </w:r>
      <w:proofErr w:type="spellStart"/>
      <w:r w:rsidRPr="008421C3">
        <w:rPr>
          <w:i/>
        </w:rPr>
        <w:t>E</w:t>
      </w:r>
      <w:r>
        <w:rPr>
          <w:vertAlign w:val="subscript"/>
        </w:rPr>
        <w:t>ext</w:t>
      </w:r>
      <w:proofErr w:type="spellEnd"/>
      <w:r>
        <w:t xml:space="preserve"> in a solution of known </w:t>
      </w:r>
      <w:proofErr w:type="spellStart"/>
      <w:r>
        <w:t>pH.</w:t>
      </w:r>
      <w:proofErr w:type="spellEnd"/>
      <w:r>
        <w:t xml:space="preserve"> Here, we used the surface discrete sample </w:t>
      </w:r>
      <w:r w:rsidR="00431C3B">
        <w:t xml:space="preserve">for </w:t>
      </w:r>
      <w:r w:rsidR="00431C3B" w:rsidRPr="00431C3B">
        <w:rPr>
          <w:i/>
        </w:rPr>
        <w:t>f</w:t>
      </w:r>
      <w:r w:rsidR="00431C3B">
        <w:t>CO</w:t>
      </w:r>
      <w:r w:rsidR="00431C3B">
        <w:rPr>
          <w:vertAlign w:val="subscript"/>
        </w:rPr>
        <w:t>2</w:t>
      </w:r>
      <w:r w:rsidR="00431C3B">
        <w:t xml:space="preserve"> and dissolved inorganic carbo (DIC) </w:t>
      </w:r>
      <w:r w:rsidRPr="00431C3B">
        <w:t>from</w:t>
      </w:r>
      <w:r>
        <w:t xml:space="preserve"> the rosette at each station to calculate the cali</w:t>
      </w:r>
      <w:r w:rsidR="00431C3B">
        <w:t xml:space="preserve">bration coefficients (n = 129).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ext,0°C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was</w:t>
      </w:r>
      <w:proofErr w:type="gramEnd"/>
      <w:r>
        <w:rPr>
          <w:rFonts w:eastAsiaTheme="minorEastAsia"/>
        </w:rPr>
        <w:t xml:space="preserve"> determined to be </w:t>
      </w:r>
      <w:r>
        <w:t xml:space="preserve">-1.37370 </w:t>
      </w:r>
      <w:r>
        <w:rPr>
          <w:rFonts w:cs="Times New Roman"/>
        </w:rPr>
        <w:t>±</w:t>
      </w:r>
      <w:r>
        <w:t xml:space="preserve"> 0.0003 (1</w:t>
      </w:r>
      <w:r>
        <w:rPr>
          <w:rFonts w:cs="Times New Roman"/>
        </w:rPr>
        <w:t>σ)</w:t>
      </w:r>
      <w:r>
        <w:t xml:space="preserve"> V. A non-linear drift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int,0°C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was observed, with a range of approximately 2 mV (Figure 1). In order to account for this drift, a piece-wise linear regression was performed over three sections: 1) before March 21</w:t>
      </w:r>
      <w:r w:rsidRPr="006C2424">
        <w:rPr>
          <w:vertAlign w:val="superscript"/>
        </w:rPr>
        <w:t>st</w:t>
      </w:r>
      <w:r>
        <w:t xml:space="preserve">, 2) between March 21 and 28, and 3) after </w:t>
      </w:r>
      <w:proofErr w:type="gramStart"/>
      <w:r>
        <w:t>march</w:t>
      </w:r>
      <w:proofErr w:type="gramEnd"/>
      <w:r>
        <w:t xml:space="preserve"> 28. </w:t>
      </w:r>
      <w:proofErr w:type="spellStart"/>
      <w:proofErr w:type="gramStart"/>
      <w:r>
        <w:t>pH</w:t>
      </w:r>
      <w:r>
        <w:rPr>
          <w:vertAlign w:val="subscript"/>
        </w:rPr>
        <w:t>int</w:t>
      </w:r>
      <w:proofErr w:type="spellEnd"/>
      <w:proofErr w:type="gramEnd"/>
      <w:r>
        <w:t xml:space="preserve"> was calculated using this interpolated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int,0°C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. The cause of this drift is not known, but could be largely corrected for due to the large number of calibration samples. </w:t>
      </w:r>
    </w:p>
    <w:p w:rsidR="00C936B2" w:rsidRDefault="00C936B2" w:rsidP="005A44FC">
      <w:pPr>
        <w:jc w:val="center"/>
      </w:pPr>
      <w:r>
        <w:rPr>
          <w:noProof/>
          <w:sz w:val="22"/>
        </w:rPr>
        <w:drawing>
          <wp:inline distT="0" distB="0" distL="0" distR="0" wp14:anchorId="00CA034C" wp14:editId="60ED2EAF">
            <wp:extent cx="2882189" cy="2305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i\Dropbox\Manuscripts in Progress\First Author\2016_Surface_pH_to_pCO2\Manuscript Figures\LowRes\FigS1_Eoint_fCO2DIC_0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76" cy="230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B2" w:rsidRPr="00E80686" w:rsidRDefault="00C936B2" w:rsidP="005A44FC">
      <w:pPr>
        <w:jc w:val="both"/>
        <w:rPr>
          <w:sz w:val="20"/>
        </w:rPr>
      </w:pPr>
      <w:r w:rsidRPr="00E80686">
        <w:rPr>
          <w:sz w:val="20"/>
        </w:rPr>
        <w:t xml:space="preserve">Figure 1: Time series of </w:t>
      </w:r>
      <m:oMath>
        <m:sSubSup>
          <m:sSubSupPr>
            <m:ctrlPr>
              <w:rPr>
                <w:rFonts w:ascii="Cambria Math" w:hAnsi="Cambria Math"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</w:rPr>
              <m:t>int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,0°C</m:t>
            </m:r>
          </m:sub>
          <m:sup>
            <m:r>
              <w:rPr>
                <w:rFonts w:ascii="Cambria Math" w:hAnsi="Cambria Math"/>
                <w:sz w:val="20"/>
              </w:rPr>
              <m:t>*</m:t>
            </m:r>
          </m:sup>
        </m:sSubSup>
      </m:oMath>
      <w:r w:rsidRPr="00E80686">
        <w:rPr>
          <w:sz w:val="20"/>
        </w:rPr>
        <w:t xml:space="preserve"> (open circles). Piece wise linear regression is shown in the solid black line.</w:t>
      </w:r>
    </w:p>
    <w:p w:rsidR="00710960" w:rsidRDefault="003646FB" w:rsidP="005A44FC">
      <w:pPr>
        <w:jc w:val="both"/>
      </w:pPr>
      <w:r>
        <w:tab/>
      </w:r>
      <w:r w:rsidR="00661399">
        <w:t xml:space="preserve">All carbonate calculations were done using CO2SYS </w:t>
      </w:r>
      <w:r w:rsidR="00661399">
        <w:fldChar w:fldCharType="begin" w:fldLock="1"/>
      </w:r>
      <w:r w:rsidR="00661399">
        <w:instrText>ADDIN CSL_CITATION { "citationItems" : [ { "id" : "ITEM-1", "itemData" : { "DOI" : "10.3334/CDIAC/otg.CO2SYS_MATLAB_v1.1", "author" : [ { "dropping-particle" : "", "family" : "Heuven", "given" : "S.", "non-dropping-particle" : "van", "parse-names" : false, "suffix" : "" }, { "dropping-particle" : "", "family" : "Pierrot", "given" : "D.", "non-dropping-particle" : "", "parse-names" : false, "suffix" : "" }, { "dropping-particle" : "", "family" : "Rae", "given" : "J.W.B.", "non-dropping-particle" : "", "parse-names" : false, "suffix" : "" }, { "dropping-particle" : "", "family" : "Lewis", "given" : "E.", "non-dropping-particle" : "", "parse-names" : false, "suffix" : "" }, { "dropping-particle" : "", "family" : "Wallace", "given" : "D.W.R", "non-dropping-particle" : "", "parse-names" : false, "suffix" : "" } ], "id" : "ITEM-1", "issued" : { "date-parts" : [ [ "2011" ] ] }, "number" : "1.1", "publisher" : "Carbon Dioxide Information Analysis Center, Oak Ridge National Laboratory, U.S. Department of Energy", "publisher-place" : "Oak Ridge, Tennessee", "title" : "MATLAB Program Developed for CO2 System Calculations. ORNL/CDIAC-105b.", "type" : "article" }, "uris" : [ "http://www.mendeley.com/documents/?uuid=59858a36-92cc-401a-a76d-a144ce9610e7" ] } ], "mendeley" : { "formattedCitation" : "[&lt;i&gt;van Heuven et al.&lt;/i&gt;, 2011]", "plainTextFormattedCitation" : "[van Heuven et al., 2011]", "previouslyFormattedCitation" : "[&lt;i&gt;van Heuven et al.&lt;/i&gt;, 2011]" }, "properties" : { "noteIndex" : 0 }, "schema" : "https://github.com/citation-style-language/schema/raw/master/csl-citation.json" }</w:instrText>
      </w:r>
      <w:r w:rsidR="00661399">
        <w:fldChar w:fldCharType="separate"/>
      </w:r>
      <w:r w:rsidR="00661399" w:rsidRPr="00377500">
        <w:rPr>
          <w:noProof/>
        </w:rPr>
        <w:t>[</w:t>
      </w:r>
      <w:r w:rsidR="00661399" w:rsidRPr="00377500">
        <w:rPr>
          <w:i/>
          <w:noProof/>
        </w:rPr>
        <w:t>van Heuven et al.</w:t>
      </w:r>
      <w:r w:rsidR="00661399" w:rsidRPr="00377500">
        <w:rPr>
          <w:noProof/>
        </w:rPr>
        <w:t>, 2011]</w:t>
      </w:r>
      <w:r w:rsidR="00661399">
        <w:fldChar w:fldCharType="end"/>
      </w:r>
      <w:r w:rsidR="00661399">
        <w:t xml:space="preserve">, using carbonate equilibrium constants from </w:t>
      </w:r>
      <w:r w:rsidR="00661399">
        <w:fldChar w:fldCharType="begin" w:fldLock="1"/>
      </w:r>
      <w:r w:rsidR="00661399">
        <w:instrText>ADDIN CSL_CITATION { "citationItems" : [ { "id" : "ITEM-1", "itemData" : { "DOI" : "10.4319/lo.1973.18.6.0897", "ISSN" : "00243590", "author" : [ { "dropping-particle" : "", "family" : "Mehrbach", "given" : "C.", "non-dropping-particle" : "", "parse-names" : false, "suffix" : "" }, { "dropping-particle" : "", "family" : "Culberson", "given" : "C. H.", "non-dropping-particle" : "", "parse-names" : false, "suffix" : "" }, { "dropping-particle" : "", "family" : "Hawley", "given" : "J. E.", "non-dropping-particle" : "", "parse-names" : false, "suffix" : "" }, { "dropping-particle" : "", "family" : "Pytkowicz", "given" : "R. M.", "non-dropping-particle" : "", "parse-names" : false, "suffix" : "" } ], "container-title" : "Limnology and Oceanography", "id" : "ITEM-1", "issue" : "6", "issued" : { "date-parts" : [ [ "1973" ] ] }, "page" : "897-907", "title" : "Measurement of the apparent dissociation constants of carbonic acid in seawater at atmospheric pressure", "type" : "article-journal", "volume" : "18" }, "uris" : [ "http://www.mendeley.com/documents/?uuid=325a0ed1-434b-4c15-b878-94ead986b771" ] } ], "mendeley" : { "formattedCitation" : "[&lt;i&gt;Mehrbach et al.&lt;/i&gt;, 1973]", "plainTextFormattedCitation" : "[Mehrbach et al., 1973]", "previouslyFormattedCitation" : "[&lt;i&gt;Mehrbach et al.&lt;/i&gt;, 1973]" }, "properties" : { "noteIndex" : 0 }, "schema" : "https://github.com/citation-style-language/schema/raw/master/csl-citation.json" }</w:instrText>
      </w:r>
      <w:r w:rsidR="00661399">
        <w:fldChar w:fldCharType="separate"/>
      </w:r>
      <w:r w:rsidR="00661399" w:rsidRPr="00BB36A0">
        <w:rPr>
          <w:noProof/>
        </w:rPr>
        <w:t>[</w:t>
      </w:r>
      <w:r w:rsidR="00661399" w:rsidRPr="00BB36A0">
        <w:rPr>
          <w:i/>
          <w:noProof/>
        </w:rPr>
        <w:t>Mehrbach et al.</w:t>
      </w:r>
      <w:r w:rsidR="00661399" w:rsidRPr="00BB36A0">
        <w:rPr>
          <w:noProof/>
        </w:rPr>
        <w:t>, 1973]</w:t>
      </w:r>
      <w:r w:rsidR="00661399">
        <w:fldChar w:fldCharType="end"/>
      </w:r>
      <w:r w:rsidR="00661399">
        <w:t xml:space="preserve"> refit by </w:t>
      </w:r>
      <w:r w:rsidR="00661399">
        <w:fldChar w:fldCharType="begin" w:fldLock="1"/>
      </w:r>
      <w:r w:rsidR="00661399">
        <w:instrText>ADDIN CSL_CITATION { "citationItems" : [ { "id" : "ITEM-1", "itemData" : { "author" : [ { "dropping-particle" : "", "family" : "Dickson", "given" : "Andrew G.", "non-dropping-particle" : "", "parse-names" : false, "suffix" : "" }, { "dropping-particle" : "", "family" : "Millero", "given" : "Frank J.", "non-dropping-particle" : "", "parse-names" : false, "suffix" : "" } ], "container-title" : "Deep Sea Research", "id" : "ITEM-1", "issue" : "10", "issued" : { "date-parts" : [ [ "1987" ] ] }, "page" : "1733-1743", "title" : "A Comparison of the Equilibrium Constants for the Dissociation of Carbonic Acid in Seawater Media", "type" : "article-journal", "volume" : "34" }, "uris" : [ "http://www.mendeley.com/documents/?uuid=79ba2a36-b730-4b19-bca5-a09febb3be4d" ] } ], "mendeley" : { "formattedCitation" : "[&lt;i&gt;Dickson and Millero&lt;/i&gt;, 1987]", "plainTextFormattedCitation" : "[Dickson and Millero, 1987]", "previouslyFormattedCitation" : "[&lt;i&gt;Dickson and Millero&lt;/i&gt;, 1987]" }, "properties" : { "noteIndex" : 0 }, "schema" : "https://github.com/citation-style-language/schema/raw/master/csl-citation.json" }</w:instrText>
      </w:r>
      <w:r w:rsidR="00661399">
        <w:fldChar w:fldCharType="separate"/>
      </w:r>
      <w:r w:rsidR="00661399" w:rsidRPr="00DD1A88">
        <w:rPr>
          <w:noProof/>
        </w:rPr>
        <w:t>[</w:t>
      </w:r>
      <w:r w:rsidR="00661399" w:rsidRPr="00DD1A88">
        <w:rPr>
          <w:i/>
          <w:noProof/>
        </w:rPr>
        <w:t>Dickson and Millero</w:t>
      </w:r>
      <w:r w:rsidR="00661399" w:rsidRPr="00DD1A88">
        <w:rPr>
          <w:noProof/>
        </w:rPr>
        <w:t>, 1987]</w:t>
      </w:r>
      <w:r w:rsidR="00661399">
        <w:fldChar w:fldCharType="end"/>
      </w:r>
      <w:r w:rsidR="00661399">
        <w:t xml:space="preserve">, salinity to boron ratios from </w:t>
      </w:r>
      <w:r w:rsidR="00661399">
        <w:fldChar w:fldCharType="begin" w:fldLock="1"/>
      </w:r>
      <w:r w:rsidR="00661399">
        <w:instrText>ADDIN CSL_CITATION { "citationItems" : [ { "id" : "ITEM-1", "itemData" : { "DOI" : "10.1016/0011-7471(74)90074-6", "ISSN" : "00117471", "abstract" : "PREVIOUS investigations of the boron/chlorinity ratio in the Pacific show values in the range 0-238-0\"241 B(mg kg-1)/C1 (%0) as can be seen in the summary of CULrIN (1965). Other water masses from different parts of the world show a broader variation of the ratio: 0.222-0.255. Most of these samples have been taken from the upper layers, where contributions from land run-off, atmospheric precipitation and differences in the biota might cause some changes of the ratio. It is therefore of great interest to compare these results with measurements on the deep-sea water masses. G~ENHALGH and RILEY (1962) published a determination on a water sample from the Indian Ocean collected at a depth of 3958 m. The boron/chlorinity ratio found was 0.02304-0.001. This value has been taken as a reference e.g. by K~MLING (1970, 1972) and by DYRSSEN and UPPSTR6M (1973) in separate investigations of the boron content in the Baltic.", "author" : [ { "dropping-particle" : "", "family" : "Uppstrom", "given" : "Leif R.", "non-dropping-particle" : "", "parse-names" : false, "suffix" : "" } ], "container-title" : "Deep-Sea Research and Oceanographic Abstracts", "id" : "ITEM-1", "issue" : "2", "issued" : { "date-parts" : [ [ "1974" ] ] }, "page" : "161-162", "title" : "The boron/chlorinity ratio of deep-sea water from the Pacific Ocean", "type" : "article-journal", "volume" : "21" }, "uris" : [ "http://www.mendeley.com/documents/?uuid=2c02333d-3d30-4431-a6df-416235149dd5" ] } ], "mendeley" : { "formattedCitation" : "[&lt;i&gt;Uppstrom&lt;/i&gt;, 1974]", "plainTextFormattedCitation" : "[Uppstrom, 1974]", "previouslyFormattedCitation" : "[&lt;i&gt;Uppstrom&lt;/i&gt;, 1974]" }, "properties" : { "noteIndex" : 0 }, "schema" : "https://github.com/citation-style-language/schema/raw/master/csl-citation.json" }</w:instrText>
      </w:r>
      <w:r w:rsidR="00661399">
        <w:fldChar w:fldCharType="separate"/>
      </w:r>
      <w:r w:rsidR="00661399" w:rsidRPr="00AB4A03">
        <w:rPr>
          <w:noProof/>
        </w:rPr>
        <w:t>[</w:t>
      </w:r>
      <w:r w:rsidR="00661399" w:rsidRPr="00AB4A03">
        <w:rPr>
          <w:i/>
          <w:noProof/>
        </w:rPr>
        <w:t>Uppstrom</w:t>
      </w:r>
      <w:r w:rsidR="00661399" w:rsidRPr="00AB4A03">
        <w:rPr>
          <w:noProof/>
        </w:rPr>
        <w:t>, 1974]</w:t>
      </w:r>
      <w:r w:rsidR="00661399">
        <w:fldChar w:fldCharType="end"/>
      </w:r>
      <w:r w:rsidR="00661399">
        <w:t xml:space="preserve">, and bisulfate equilibrium constants from </w:t>
      </w:r>
      <w:r w:rsidR="00661399">
        <w:fldChar w:fldCharType="begin" w:fldLock="1"/>
      </w:r>
      <w:r w:rsidR="00661399">
        <w:instrText>ADDIN CSL_CITATION { "citationItems" : [ { "id" : "ITEM-1", "itemData" : { "author" : [ { "dropping-particle" : "", "family" : "Dickson", "given" : "Andrew G", "non-dropping-particle" : "", "parse-names" : false, "suffix" : "" } ], "container-title" : "The Journal of Chemical Thermodynamics", "id" : "ITEM-1", "issue" : "3", "issued" : { "date-parts" : [ [ "1990" ] ] }, "page" : "113-127", "title" : "Standard potential of the reaction : AgCl ( s ) + 1/2H2( g ) = Ag ( s ) + HCl ( aq ), and the standard acidity constant of the ion HSO4- in synthetic sea water from 273 . 15 to 318 . 15 K", "type" : "article-journal", "volume" : "22" }, "uris" : [ "http://www.mendeley.com/documents/?uuid=554d0b6d-7288-4c19-ba3c-ccab9d1aecde" ] } ], "mendeley" : { "formattedCitation" : "[&lt;i&gt;Dickson&lt;/i&gt;, 1990]", "plainTextFormattedCitation" : "[Dickson, 1990]", "previouslyFormattedCitation" : "[&lt;i&gt;Dickson&lt;/i&gt;, 1990]" }, "properties" : { "noteIndex" : 0 }, "schema" : "https://github.com/citation-style-language/schema/raw/master/csl-citation.json" }</w:instrText>
      </w:r>
      <w:r w:rsidR="00661399">
        <w:fldChar w:fldCharType="separate"/>
      </w:r>
      <w:r w:rsidR="00661399" w:rsidRPr="00377500">
        <w:rPr>
          <w:noProof/>
        </w:rPr>
        <w:t>[</w:t>
      </w:r>
      <w:r w:rsidR="00661399" w:rsidRPr="00377500">
        <w:rPr>
          <w:i/>
          <w:noProof/>
        </w:rPr>
        <w:t>Dickson</w:t>
      </w:r>
      <w:r w:rsidR="00661399" w:rsidRPr="00377500">
        <w:rPr>
          <w:noProof/>
        </w:rPr>
        <w:t>, 1990]</w:t>
      </w:r>
      <w:r w:rsidR="00661399">
        <w:fldChar w:fldCharType="end"/>
      </w:r>
      <w:r w:rsidR="00661399">
        <w:t>.</w:t>
      </w:r>
    </w:p>
    <w:p w:rsidR="003646FB" w:rsidRPr="005A44FC" w:rsidRDefault="00710960" w:rsidP="005A44FC">
      <w:pPr>
        <w:jc w:val="both"/>
      </w:pPr>
      <w:r>
        <w:tab/>
      </w:r>
      <w:r w:rsidR="003646FB">
        <w:t xml:space="preserve">We believe the </w:t>
      </w:r>
      <w:r w:rsidR="00B241F9">
        <w:t xml:space="preserve">underway </w:t>
      </w:r>
      <w:proofErr w:type="spellStart"/>
      <w:r w:rsidR="003646FB">
        <w:t>pH</w:t>
      </w:r>
      <w:r w:rsidR="00195E9F">
        <w:rPr>
          <w:vertAlign w:val="subscript"/>
        </w:rPr>
        <w:t>ext</w:t>
      </w:r>
      <w:proofErr w:type="spellEnd"/>
      <w:r w:rsidR="003646FB">
        <w:t xml:space="preserve"> is </w:t>
      </w:r>
      <w:r w:rsidR="00B241F9">
        <w:t xml:space="preserve">accurate to </w:t>
      </w:r>
      <w:r w:rsidR="003646FB">
        <w:t xml:space="preserve">0.007, based on </w:t>
      </w:r>
      <w:r w:rsidR="00B241F9">
        <w:t xml:space="preserve">the consistency of </w:t>
      </w:r>
      <w:r w:rsidR="003646FB">
        <w:t>calibrating the pH sensors using multiple</w:t>
      </w:r>
      <w:r w:rsidR="00B241F9">
        <w:t xml:space="preserve"> combinations of discrete samples (i.e. </w:t>
      </w:r>
      <w:r w:rsidR="00B241F9">
        <w:rPr>
          <w:i/>
        </w:rPr>
        <w:t>f</w:t>
      </w:r>
      <w:r w:rsidR="00B241F9">
        <w:t>CO</w:t>
      </w:r>
      <w:r w:rsidR="00B241F9">
        <w:rPr>
          <w:vertAlign w:val="subscript"/>
        </w:rPr>
        <w:t>2</w:t>
      </w:r>
      <w:r w:rsidR="00B241F9">
        <w:t xml:space="preserve">, total alkalinity, </w:t>
      </w:r>
      <w:r w:rsidR="00431C3B">
        <w:t>DIC</w:t>
      </w:r>
      <w:r w:rsidR="00B241F9">
        <w:t>, and spectrophotometric pH)</w:t>
      </w:r>
      <w:r w:rsidR="003646FB">
        <w:t xml:space="preserve">. However, the short term precision (hours) and long term precision (weeks) of the underway </w:t>
      </w:r>
      <w:proofErr w:type="spellStart"/>
      <w:r w:rsidR="003646FB">
        <w:t>pH</w:t>
      </w:r>
      <w:r w:rsidR="00195E9F">
        <w:rPr>
          <w:vertAlign w:val="subscript"/>
        </w:rPr>
        <w:t>ext</w:t>
      </w:r>
      <w:proofErr w:type="spellEnd"/>
      <w:r w:rsidR="003646FB">
        <w:t xml:space="preserve"> data is 0.0005 and 0.004, respectively. </w:t>
      </w:r>
      <w:r w:rsidR="005A44FC">
        <w:t xml:space="preserve">Details of the uncertainties associated with </w:t>
      </w:r>
      <w:proofErr w:type="spellStart"/>
      <w:r w:rsidR="005A44FC">
        <w:t>pH</w:t>
      </w:r>
      <w:r w:rsidR="00195E9F">
        <w:rPr>
          <w:vertAlign w:val="subscript"/>
        </w:rPr>
        <w:t>ext</w:t>
      </w:r>
      <w:proofErr w:type="spellEnd"/>
      <w:r w:rsidR="005A44FC">
        <w:t xml:space="preserve"> can be found in [</w:t>
      </w:r>
      <w:r w:rsidR="005A44FC">
        <w:rPr>
          <w:i/>
        </w:rPr>
        <w:t>Takeshita et al.</w:t>
      </w:r>
      <w:r w:rsidR="005A44FC">
        <w:t xml:space="preserve">, 2017, </w:t>
      </w:r>
      <w:r w:rsidR="00D97B3C">
        <w:t>in review</w:t>
      </w:r>
      <w:r w:rsidR="005A44FC">
        <w:t>].</w:t>
      </w:r>
    </w:p>
    <w:p w:rsidR="003646FB" w:rsidRPr="00B241F9" w:rsidRDefault="000D3C33" w:rsidP="005A44FC">
      <w:pPr>
        <w:jc w:val="both"/>
        <w:rPr>
          <w:b/>
          <w:sz w:val="28"/>
        </w:rPr>
      </w:pPr>
      <w:r w:rsidRPr="00B241F9">
        <w:rPr>
          <w:b/>
          <w:sz w:val="28"/>
        </w:rPr>
        <w:lastRenderedPageBreak/>
        <w:t>Variable Descriptions</w:t>
      </w:r>
    </w:p>
    <w:p w:rsidR="000D3C33" w:rsidRDefault="00D82258" w:rsidP="005A44FC">
      <w:pPr>
        <w:jc w:val="both"/>
      </w:pPr>
      <w:proofErr w:type="spellStart"/>
      <w:r>
        <w:t>DATE_UTC_ddmmyyyy</w:t>
      </w:r>
      <w:proofErr w:type="spellEnd"/>
      <w:r>
        <w:t xml:space="preserve">: Date in UTC, formatted as </w:t>
      </w:r>
      <w:proofErr w:type="spellStart"/>
      <w:r>
        <w:t>ddmmyyyy</w:t>
      </w:r>
      <w:proofErr w:type="spellEnd"/>
    </w:p>
    <w:p w:rsidR="00D82258" w:rsidRDefault="00D82258" w:rsidP="005A44FC">
      <w:pPr>
        <w:jc w:val="both"/>
      </w:pPr>
      <w:proofErr w:type="spellStart"/>
      <w:r>
        <w:t>TIME_UTC_hhmmss</w:t>
      </w:r>
      <w:proofErr w:type="spellEnd"/>
      <w:r>
        <w:t xml:space="preserve">: Date in UTC, formatted as </w:t>
      </w:r>
      <w:proofErr w:type="spellStart"/>
      <w:r>
        <w:t>hh:mm:ss</w:t>
      </w:r>
      <w:proofErr w:type="spellEnd"/>
    </w:p>
    <w:p w:rsidR="000D3C33" w:rsidRDefault="00D82258" w:rsidP="005A44FC">
      <w:pPr>
        <w:jc w:val="both"/>
      </w:pPr>
      <w:proofErr w:type="spellStart"/>
      <w:r>
        <w:t>LAT_dec_degree</w:t>
      </w:r>
      <w:proofErr w:type="spellEnd"/>
      <w:r w:rsidR="000D3C33">
        <w:t>: Latitude</w:t>
      </w:r>
      <w:r>
        <w:t xml:space="preserve"> in decimal degree,</w:t>
      </w:r>
      <w:r w:rsidR="000D3C33">
        <w:t xml:space="preserve"> interpolated from the underway fCO</w:t>
      </w:r>
      <w:r w:rsidR="000D3C33">
        <w:rPr>
          <w:vertAlign w:val="subscript"/>
        </w:rPr>
        <w:t>2</w:t>
      </w:r>
      <w:r w:rsidR="000D3C33">
        <w:t xml:space="preserve"> system</w:t>
      </w:r>
    </w:p>
    <w:p w:rsidR="000D3C33" w:rsidRDefault="00D82258" w:rsidP="005A44FC">
      <w:pPr>
        <w:jc w:val="both"/>
      </w:pPr>
      <w:proofErr w:type="spellStart"/>
      <w:r>
        <w:t>LONG_dec_degree</w:t>
      </w:r>
      <w:proofErr w:type="spellEnd"/>
      <w:r w:rsidR="000D3C33">
        <w:t>: Longitude</w:t>
      </w:r>
      <w:r>
        <w:t xml:space="preserve"> in decimal degree</w:t>
      </w:r>
      <w:r w:rsidR="000D3C33">
        <w:t>, interpolated from the underway fCO</w:t>
      </w:r>
      <w:r w:rsidR="000D3C33">
        <w:rPr>
          <w:vertAlign w:val="subscript"/>
        </w:rPr>
        <w:t>2</w:t>
      </w:r>
      <w:r w:rsidR="000D3C33">
        <w:t xml:space="preserve"> system</w:t>
      </w:r>
    </w:p>
    <w:p w:rsidR="003646FB" w:rsidRDefault="00D82258" w:rsidP="005A44FC">
      <w:pPr>
        <w:jc w:val="both"/>
      </w:pPr>
      <w:proofErr w:type="spellStart"/>
      <w:r>
        <w:t>Eint_volt</w:t>
      </w:r>
      <w:proofErr w:type="spellEnd"/>
      <w:r w:rsidR="000D3C33">
        <w:t>: Voltage between the ISFET and internal reference electrode</w:t>
      </w:r>
    </w:p>
    <w:p w:rsidR="000D3C33" w:rsidRDefault="00D82258" w:rsidP="005A44FC">
      <w:pPr>
        <w:jc w:val="both"/>
      </w:pPr>
      <w:proofErr w:type="spellStart"/>
      <w:r>
        <w:t>Eext_volt</w:t>
      </w:r>
      <w:proofErr w:type="spellEnd"/>
      <w:r w:rsidR="000D3C33">
        <w:t>: Voltage between the ISFET and the external reference electrode (Cl-ISE)</w:t>
      </w:r>
    </w:p>
    <w:p w:rsidR="003646FB" w:rsidRDefault="000D3C33" w:rsidP="005A44FC">
      <w:pPr>
        <w:jc w:val="both"/>
      </w:pPr>
      <w:r>
        <w:t>TEMP_FLOWCELL</w:t>
      </w:r>
      <w:r w:rsidR="00D82258">
        <w:t>_C</w:t>
      </w:r>
      <w:r>
        <w:t xml:space="preserve">: Temperature of the flow cell </w:t>
      </w:r>
      <w:r w:rsidR="00D82258">
        <w:t>in Celsius</w:t>
      </w:r>
    </w:p>
    <w:p w:rsidR="000D3C33" w:rsidRDefault="000D3C33" w:rsidP="005A44FC">
      <w:pPr>
        <w:jc w:val="both"/>
      </w:pPr>
      <w:r>
        <w:t>SALINITY</w:t>
      </w:r>
      <w:r w:rsidR="007D61C4">
        <w:t>_PSS_78</w:t>
      </w:r>
      <w:r>
        <w:t>: Sea surface salinity</w:t>
      </w:r>
      <w:r w:rsidR="00E4712A">
        <w:t xml:space="preserve"> based on the PSS-78 practical salinity scale</w:t>
      </w:r>
      <w:proofErr w:type="gramStart"/>
      <w:r w:rsidR="00E4712A">
        <w:t>,</w:t>
      </w:r>
      <w:r>
        <w:t>,</w:t>
      </w:r>
      <w:proofErr w:type="gramEnd"/>
      <w:r>
        <w:t xml:space="preserve"> interpolated from the underway fCO</w:t>
      </w:r>
      <w:r>
        <w:rPr>
          <w:vertAlign w:val="subscript"/>
        </w:rPr>
        <w:t>2</w:t>
      </w:r>
      <w:r>
        <w:t xml:space="preserve"> system</w:t>
      </w:r>
    </w:p>
    <w:p w:rsidR="000D3C33" w:rsidRDefault="006A128A" w:rsidP="005A44FC">
      <w:pPr>
        <w:jc w:val="both"/>
      </w:pPr>
      <w:r>
        <w:t>SEA_SURFACE_TEMPERATURE_C</w:t>
      </w:r>
      <w:r w:rsidR="000D3C33">
        <w:t>: Sea surface temperature</w:t>
      </w:r>
      <w:r>
        <w:t xml:space="preserve"> in Celsius,</w:t>
      </w:r>
      <w:r w:rsidR="000D3C33">
        <w:t xml:space="preserve"> interpolated from the underway fCO</w:t>
      </w:r>
      <w:r w:rsidR="000D3C33">
        <w:rPr>
          <w:vertAlign w:val="subscript"/>
        </w:rPr>
        <w:t>2</w:t>
      </w:r>
      <w:r w:rsidR="000D3C33">
        <w:t xml:space="preserve"> system</w:t>
      </w:r>
    </w:p>
    <w:p w:rsidR="000D3C33" w:rsidRDefault="000D3C33" w:rsidP="005A44FC">
      <w:pPr>
        <w:jc w:val="both"/>
      </w:pPr>
      <w:proofErr w:type="spellStart"/>
      <w:r>
        <w:t>pH_INT</w:t>
      </w:r>
      <w:r w:rsidR="006A128A">
        <w:t>_TOT_AT_SST</w:t>
      </w:r>
      <w:proofErr w:type="spellEnd"/>
      <w:r>
        <w:t xml:space="preserve">: pH </w:t>
      </w:r>
      <w:r w:rsidR="006A128A">
        <w:t xml:space="preserve">on the total scale at sea surface temperature </w:t>
      </w:r>
      <w:r>
        <w:t>calculated using the internal reference electrode on the total scale, at SST</w:t>
      </w:r>
    </w:p>
    <w:p w:rsidR="000D3C33" w:rsidRDefault="000D3C33" w:rsidP="005A44FC">
      <w:pPr>
        <w:jc w:val="both"/>
      </w:pPr>
      <w:proofErr w:type="spellStart"/>
      <w:r>
        <w:t>pH_EXT</w:t>
      </w:r>
      <w:r w:rsidR="006A128A">
        <w:t>_TOT_AT_SST</w:t>
      </w:r>
      <w:proofErr w:type="spellEnd"/>
      <w:r>
        <w:t xml:space="preserve">: pH </w:t>
      </w:r>
      <w:r w:rsidR="006A128A">
        <w:t xml:space="preserve">on the total scale at sea surface temperature </w:t>
      </w:r>
      <w:r>
        <w:t>calculated using the external reference electrode on the total scale, at SST</w:t>
      </w:r>
    </w:p>
    <w:p w:rsidR="007D3CF0" w:rsidRDefault="007D3CF0" w:rsidP="005A44FC">
      <w:pPr>
        <w:jc w:val="both"/>
      </w:pPr>
    </w:p>
    <w:p w:rsidR="007D3CF0" w:rsidRDefault="007D3CF0" w:rsidP="005A44FC">
      <w:pPr>
        <w:jc w:val="both"/>
        <w:rPr>
          <w:b/>
          <w:sz w:val="28"/>
        </w:rPr>
      </w:pPr>
      <w:r w:rsidRPr="00B241F9">
        <w:rPr>
          <w:b/>
          <w:sz w:val="28"/>
        </w:rPr>
        <w:t>References</w:t>
      </w:r>
    </w:p>
    <w:p w:rsidR="00B241F9" w:rsidRPr="00B241F9" w:rsidRDefault="00B241F9" w:rsidP="005A44F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 w:val="22"/>
        </w:rPr>
      </w:pPr>
      <w:r w:rsidRPr="00B241F9">
        <w:rPr>
          <w:b/>
          <w:sz w:val="22"/>
        </w:rPr>
        <w:fldChar w:fldCharType="begin" w:fldLock="1"/>
      </w:r>
      <w:r w:rsidRPr="00B241F9">
        <w:rPr>
          <w:b/>
          <w:sz w:val="22"/>
        </w:rPr>
        <w:instrText xml:space="preserve">ADDIN Mendeley Bibliography CSL_BIBLIOGRAPHY </w:instrText>
      </w:r>
      <w:r w:rsidRPr="00B241F9">
        <w:rPr>
          <w:b/>
          <w:sz w:val="22"/>
        </w:rPr>
        <w:fldChar w:fldCharType="separate"/>
      </w:r>
      <w:r w:rsidRPr="00B241F9">
        <w:rPr>
          <w:rFonts w:cs="Times New Roman"/>
          <w:noProof/>
          <w:sz w:val="22"/>
        </w:rPr>
        <w:t xml:space="preserve">Bresnahan, P. J., T. R. Martz, Y. Takeshita, K. S. Johnson, and M. LaShomb (2014), Best practices for autonomous measurement of seawater pH with the Honeywell Durafet, </w:t>
      </w:r>
      <w:r w:rsidRPr="00B241F9">
        <w:rPr>
          <w:rFonts w:cs="Times New Roman"/>
          <w:i/>
          <w:iCs/>
          <w:noProof/>
          <w:sz w:val="22"/>
        </w:rPr>
        <w:t>Methods Oceanogr.</w:t>
      </w:r>
      <w:r w:rsidRPr="00B241F9">
        <w:rPr>
          <w:rFonts w:cs="Times New Roman"/>
          <w:noProof/>
          <w:sz w:val="22"/>
        </w:rPr>
        <w:t xml:space="preserve">, </w:t>
      </w:r>
      <w:r w:rsidRPr="00B241F9">
        <w:rPr>
          <w:rFonts w:cs="Times New Roman"/>
          <w:i/>
          <w:iCs/>
          <w:noProof/>
          <w:sz w:val="22"/>
        </w:rPr>
        <w:t>9</w:t>
      </w:r>
      <w:r w:rsidRPr="00B241F9">
        <w:rPr>
          <w:rFonts w:cs="Times New Roman"/>
          <w:noProof/>
          <w:sz w:val="22"/>
        </w:rPr>
        <w:t>, 44–60.</w:t>
      </w:r>
    </w:p>
    <w:p w:rsidR="00B241F9" w:rsidRPr="00B241F9" w:rsidRDefault="00B241F9" w:rsidP="005A44F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 w:val="22"/>
        </w:rPr>
      </w:pPr>
      <w:r w:rsidRPr="00B241F9">
        <w:rPr>
          <w:rFonts w:cs="Times New Roman"/>
          <w:noProof/>
          <w:sz w:val="22"/>
        </w:rPr>
        <w:t xml:space="preserve">Dickson, A. G. (1990), Standard potential of the reaction : AgCl ( s ) + 1/2H2( g ) = Ag ( s ) + HCl ( aq ), and the standard acidity constant of the ion HSO4- in synthetic sea water from 273 . 15 to 318 . 15 K, </w:t>
      </w:r>
      <w:r w:rsidRPr="00B241F9">
        <w:rPr>
          <w:rFonts w:cs="Times New Roman"/>
          <w:i/>
          <w:iCs/>
          <w:noProof/>
          <w:sz w:val="22"/>
        </w:rPr>
        <w:t>J. Chem. Thermodyn.</w:t>
      </w:r>
      <w:r w:rsidRPr="00B241F9">
        <w:rPr>
          <w:rFonts w:cs="Times New Roman"/>
          <w:noProof/>
          <w:sz w:val="22"/>
        </w:rPr>
        <w:t xml:space="preserve">, </w:t>
      </w:r>
      <w:r w:rsidRPr="00B241F9">
        <w:rPr>
          <w:rFonts w:cs="Times New Roman"/>
          <w:i/>
          <w:iCs/>
          <w:noProof/>
          <w:sz w:val="22"/>
        </w:rPr>
        <w:t>22</w:t>
      </w:r>
      <w:r w:rsidRPr="00B241F9">
        <w:rPr>
          <w:rFonts w:cs="Times New Roman"/>
          <w:noProof/>
          <w:sz w:val="22"/>
        </w:rPr>
        <w:t>(3), 113–127.</w:t>
      </w:r>
    </w:p>
    <w:p w:rsidR="00B241F9" w:rsidRPr="00B241F9" w:rsidRDefault="00B241F9" w:rsidP="005A44F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 w:val="22"/>
        </w:rPr>
      </w:pPr>
      <w:r w:rsidRPr="00B241F9">
        <w:rPr>
          <w:rFonts w:cs="Times New Roman"/>
          <w:noProof/>
          <w:sz w:val="22"/>
        </w:rPr>
        <w:t xml:space="preserve">Dickson, A. G., and F. J. Millero (1987), A Comparison of the Equilibrium Constants for the Dissociation of Carbonic Acid in Seawater Media, </w:t>
      </w:r>
      <w:r w:rsidRPr="00B241F9">
        <w:rPr>
          <w:rFonts w:cs="Times New Roman"/>
          <w:i/>
          <w:iCs/>
          <w:noProof/>
          <w:sz w:val="22"/>
        </w:rPr>
        <w:t>Deep Sea Res.</w:t>
      </w:r>
      <w:r w:rsidRPr="00B241F9">
        <w:rPr>
          <w:rFonts w:cs="Times New Roman"/>
          <w:noProof/>
          <w:sz w:val="22"/>
        </w:rPr>
        <w:t xml:space="preserve">, </w:t>
      </w:r>
      <w:r w:rsidRPr="00B241F9">
        <w:rPr>
          <w:rFonts w:cs="Times New Roman"/>
          <w:i/>
          <w:iCs/>
          <w:noProof/>
          <w:sz w:val="22"/>
        </w:rPr>
        <w:t>34</w:t>
      </w:r>
      <w:r w:rsidRPr="00B241F9">
        <w:rPr>
          <w:rFonts w:cs="Times New Roman"/>
          <w:noProof/>
          <w:sz w:val="22"/>
        </w:rPr>
        <w:t>(10), 1733–1743.</w:t>
      </w:r>
    </w:p>
    <w:p w:rsidR="00B241F9" w:rsidRPr="00B241F9" w:rsidRDefault="00B241F9" w:rsidP="005A44F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 w:val="22"/>
        </w:rPr>
      </w:pPr>
      <w:r w:rsidRPr="00B241F9">
        <w:rPr>
          <w:rFonts w:cs="Times New Roman"/>
          <w:noProof/>
          <w:sz w:val="22"/>
        </w:rPr>
        <w:t xml:space="preserve">Dickson, A. G., C. L. Sabine, and J. R. Christian (Eds.) (2007), </w:t>
      </w:r>
      <w:r w:rsidRPr="00B241F9">
        <w:rPr>
          <w:rFonts w:cs="Times New Roman"/>
          <w:i/>
          <w:iCs/>
          <w:noProof/>
          <w:sz w:val="22"/>
        </w:rPr>
        <w:t>Guide to best practices for ocean CO2 measurements</w:t>
      </w:r>
      <w:r w:rsidRPr="00B241F9">
        <w:rPr>
          <w:rFonts w:cs="Times New Roman"/>
          <w:noProof/>
          <w:sz w:val="22"/>
        </w:rPr>
        <w:t>, PICES Special Publication 3.</w:t>
      </w:r>
    </w:p>
    <w:p w:rsidR="00B241F9" w:rsidRPr="00B241F9" w:rsidRDefault="00B241F9" w:rsidP="005A44F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 w:val="22"/>
        </w:rPr>
      </w:pPr>
      <w:r w:rsidRPr="00B241F9">
        <w:rPr>
          <w:rFonts w:cs="Times New Roman"/>
          <w:noProof/>
          <w:sz w:val="22"/>
        </w:rPr>
        <w:t>van Heuven, S., D. Pierrot, J. W. B. Rae, E. Lewis, and D. W. . Wallace (2011), MATLAB Program Developed for CO2 System Calculations. ORNL/CDIAC-105b., , doi:10.3334/CDIAC/otg.CO2SYS_MATLAB_v1.1.</w:t>
      </w:r>
    </w:p>
    <w:p w:rsidR="00B241F9" w:rsidRPr="00B241F9" w:rsidRDefault="00B241F9" w:rsidP="005A44F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 w:val="22"/>
        </w:rPr>
      </w:pPr>
      <w:r w:rsidRPr="00B241F9">
        <w:rPr>
          <w:rFonts w:cs="Times New Roman"/>
          <w:noProof/>
          <w:sz w:val="22"/>
        </w:rPr>
        <w:lastRenderedPageBreak/>
        <w:t xml:space="preserve">Khoo, K. H., R. W. Ramette, C. H. Culberson, and R. G. Bates (1977), Determination of hydrogen ion concentrations in seawater from 5 to 40.degree.C: standard potentials at salinities from 20 to 45%, </w:t>
      </w:r>
      <w:r w:rsidRPr="00B241F9">
        <w:rPr>
          <w:rFonts w:cs="Times New Roman"/>
          <w:i/>
          <w:iCs/>
          <w:noProof/>
          <w:sz w:val="22"/>
        </w:rPr>
        <w:t>Anal. Chem.</w:t>
      </w:r>
      <w:r w:rsidRPr="00B241F9">
        <w:rPr>
          <w:rFonts w:cs="Times New Roman"/>
          <w:noProof/>
          <w:sz w:val="22"/>
        </w:rPr>
        <w:t xml:space="preserve">, </w:t>
      </w:r>
      <w:r w:rsidRPr="00B241F9">
        <w:rPr>
          <w:rFonts w:cs="Times New Roman"/>
          <w:i/>
          <w:iCs/>
          <w:noProof/>
          <w:sz w:val="22"/>
        </w:rPr>
        <w:t>49</w:t>
      </w:r>
      <w:r w:rsidRPr="00B241F9">
        <w:rPr>
          <w:rFonts w:cs="Times New Roman"/>
          <w:noProof/>
          <w:sz w:val="22"/>
        </w:rPr>
        <w:t>(1), 29–34, doi:10.1021/ac50009a016.</w:t>
      </w:r>
    </w:p>
    <w:p w:rsidR="00B241F9" w:rsidRPr="00B241F9" w:rsidRDefault="00B241F9" w:rsidP="005A44F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 w:val="22"/>
        </w:rPr>
      </w:pPr>
      <w:r w:rsidRPr="00B241F9">
        <w:rPr>
          <w:rFonts w:cs="Times New Roman"/>
          <w:noProof/>
          <w:sz w:val="22"/>
        </w:rPr>
        <w:t xml:space="preserve">Martz, T. R., J. G. Connery, and K. S. Johnson (2010), Testing the Honeywell Durafet for seawater pH applications, </w:t>
      </w:r>
      <w:r w:rsidRPr="00B241F9">
        <w:rPr>
          <w:rFonts w:cs="Times New Roman"/>
          <w:i/>
          <w:iCs/>
          <w:noProof/>
          <w:sz w:val="22"/>
        </w:rPr>
        <w:t>Limnol. Oceanogr. Methods</w:t>
      </w:r>
      <w:r w:rsidRPr="00B241F9">
        <w:rPr>
          <w:rFonts w:cs="Times New Roman"/>
          <w:noProof/>
          <w:sz w:val="22"/>
        </w:rPr>
        <w:t xml:space="preserve">, </w:t>
      </w:r>
      <w:r w:rsidRPr="00B241F9">
        <w:rPr>
          <w:rFonts w:cs="Times New Roman"/>
          <w:i/>
          <w:iCs/>
          <w:noProof/>
          <w:sz w:val="22"/>
        </w:rPr>
        <w:t>8</w:t>
      </w:r>
      <w:r w:rsidRPr="00B241F9">
        <w:rPr>
          <w:rFonts w:cs="Times New Roman"/>
          <w:noProof/>
          <w:sz w:val="22"/>
        </w:rPr>
        <w:t>, 172–184, doi:10.4319/lom.2010.8.172.</w:t>
      </w:r>
    </w:p>
    <w:p w:rsidR="00B241F9" w:rsidRPr="00B241F9" w:rsidRDefault="00B241F9" w:rsidP="005A44F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 w:val="22"/>
        </w:rPr>
      </w:pPr>
      <w:r w:rsidRPr="00B241F9">
        <w:rPr>
          <w:rFonts w:cs="Times New Roman"/>
          <w:noProof/>
          <w:sz w:val="22"/>
        </w:rPr>
        <w:t xml:space="preserve">Mehrbach, C., C. H. Culberson, J. E. Hawley, and R. M. Pytkowicz (1973), Measurement of the apparent dissociation constants of carbonic acid in seawater at atmospheric pressure, </w:t>
      </w:r>
      <w:r w:rsidRPr="00B241F9">
        <w:rPr>
          <w:rFonts w:cs="Times New Roman"/>
          <w:i/>
          <w:iCs/>
          <w:noProof/>
          <w:sz w:val="22"/>
        </w:rPr>
        <w:t>Limnol. Oceanogr.</w:t>
      </w:r>
      <w:r w:rsidRPr="00B241F9">
        <w:rPr>
          <w:rFonts w:cs="Times New Roman"/>
          <w:noProof/>
          <w:sz w:val="22"/>
        </w:rPr>
        <w:t xml:space="preserve">, </w:t>
      </w:r>
      <w:r w:rsidRPr="00B241F9">
        <w:rPr>
          <w:rFonts w:cs="Times New Roman"/>
          <w:i/>
          <w:iCs/>
          <w:noProof/>
          <w:sz w:val="22"/>
        </w:rPr>
        <w:t>18</w:t>
      </w:r>
      <w:r w:rsidRPr="00B241F9">
        <w:rPr>
          <w:rFonts w:cs="Times New Roman"/>
          <w:noProof/>
          <w:sz w:val="22"/>
        </w:rPr>
        <w:t>(6), 897–907, doi:10.4319/lo.1973.18.6.0897.</w:t>
      </w:r>
    </w:p>
    <w:p w:rsidR="00B241F9" w:rsidRPr="00B241F9" w:rsidRDefault="00B241F9" w:rsidP="005A44F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 w:val="22"/>
        </w:rPr>
      </w:pPr>
      <w:r w:rsidRPr="00B241F9">
        <w:rPr>
          <w:rFonts w:cs="Times New Roman"/>
          <w:noProof/>
          <w:sz w:val="22"/>
        </w:rPr>
        <w:t xml:space="preserve">Uppstrom, L. R. (1974), The boron/chlorinity ratio of deep-sea water from the Pacific Ocean, </w:t>
      </w:r>
      <w:r w:rsidRPr="00B241F9">
        <w:rPr>
          <w:rFonts w:cs="Times New Roman"/>
          <w:i/>
          <w:iCs/>
          <w:noProof/>
          <w:sz w:val="22"/>
        </w:rPr>
        <w:t>Deep. Res. Oceanogr. Abstr.</w:t>
      </w:r>
      <w:r w:rsidRPr="00B241F9">
        <w:rPr>
          <w:rFonts w:cs="Times New Roman"/>
          <w:noProof/>
          <w:sz w:val="22"/>
        </w:rPr>
        <w:t xml:space="preserve">, </w:t>
      </w:r>
      <w:r w:rsidRPr="00B241F9">
        <w:rPr>
          <w:rFonts w:cs="Times New Roman"/>
          <w:i/>
          <w:iCs/>
          <w:noProof/>
          <w:sz w:val="22"/>
        </w:rPr>
        <w:t>21</w:t>
      </w:r>
      <w:r w:rsidRPr="00B241F9">
        <w:rPr>
          <w:rFonts w:cs="Times New Roman"/>
          <w:noProof/>
          <w:sz w:val="22"/>
        </w:rPr>
        <w:t>(2), 161–162, doi:10.1016/0011-7471(74)90074-6.</w:t>
      </w:r>
    </w:p>
    <w:p w:rsidR="007D3CF0" w:rsidRPr="00B241F9" w:rsidRDefault="00B241F9" w:rsidP="005A44FC">
      <w:pPr>
        <w:ind w:left="540" w:hanging="540"/>
        <w:jc w:val="both"/>
        <w:rPr>
          <w:rFonts w:eastAsia="Times New Roman" w:cs="Times New Roman"/>
          <w:color w:val="000000"/>
          <w:sz w:val="22"/>
        </w:rPr>
      </w:pPr>
      <w:r w:rsidRPr="00B241F9">
        <w:rPr>
          <w:b/>
          <w:sz w:val="22"/>
        </w:rPr>
        <w:fldChar w:fldCharType="end"/>
      </w:r>
      <w:proofErr w:type="spellStart"/>
      <w:r w:rsidR="007D3CF0" w:rsidRPr="007D3CF0">
        <w:rPr>
          <w:rFonts w:eastAsia="Times New Roman" w:cs="Times New Roman"/>
          <w:color w:val="000000"/>
          <w:sz w:val="22"/>
        </w:rPr>
        <w:t>Wanninkhof</w:t>
      </w:r>
      <w:proofErr w:type="spellEnd"/>
      <w:r w:rsidR="007D3CF0" w:rsidRPr="007D3CF0">
        <w:rPr>
          <w:rFonts w:eastAsia="Times New Roman" w:cs="Times New Roman"/>
          <w:color w:val="000000"/>
          <w:sz w:val="22"/>
        </w:rPr>
        <w:t xml:space="preserve">, R.H. </w:t>
      </w:r>
      <w:r>
        <w:rPr>
          <w:rFonts w:eastAsia="Times New Roman" w:cs="Times New Roman"/>
          <w:color w:val="000000"/>
          <w:sz w:val="22"/>
        </w:rPr>
        <w:t>(</w:t>
      </w:r>
      <w:r w:rsidR="007D3CF0" w:rsidRPr="007D3CF0">
        <w:rPr>
          <w:rFonts w:eastAsia="Times New Roman" w:cs="Times New Roman"/>
          <w:color w:val="000000"/>
          <w:sz w:val="22"/>
        </w:rPr>
        <w:t>2012</w:t>
      </w:r>
      <w:r>
        <w:rPr>
          <w:rFonts w:eastAsia="Times New Roman" w:cs="Times New Roman"/>
          <w:color w:val="000000"/>
          <w:sz w:val="22"/>
        </w:rPr>
        <w:t>)</w:t>
      </w:r>
      <w:r w:rsidR="007D3CF0" w:rsidRPr="007D3CF0">
        <w:rPr>
          <w:rFonts w:eastAsia="Times New Roman" w:cs="Times New Roman"/>
          <w:color w:val="000000"/>
          <w:sz w:val="22"/>
        </w:rPr>
        <w:t xml:space="preserve">. Underway measurements of surface partial pressure of CO2 during </w:t>
      </w:r>
      <w:r w:rsidR="007D3CF0" w:rsidRPr="00B241F9">
        <w:rPr>
          <w:rFonts w:eastAsia="Times New Roman" w:cs="Times New Roman"/>
          <w:color w:val="000000"/>
          <w:sz w:val="22"/>
        </w:rPr>
        <w:t>t</w:t>
      </w:r>
      <w:r w:rsidR="007D3CF0" w:rsidRPr="007D3CF0">
        <w:rPr>
          <w:rFonts w:eastAsia="Times New Roman" w:cs="Times New Roman"/>
          <w:color w:val="000000"/>
          <w:sz w:val="22"/>
        </w:rPr>
        <w:t xml:space="preserve">he R/V Ronald H. Brown Cruise in the Atlantic Ocean on CLIVAR Repeat Hydrography Section A13.5_2010 </w:t>
      </w:r>
      <w:r w:rsidR="007D3CF0" w:rsidRPr="00B241F9">
        <w:rPr>
          <w:rFonts w:eastAsia="Times New Roman" w:cs="Times New Roman"/>
          <w:color w:val="000000"/>
          <w:sz w:val="22"/>
        </w:rPr>
        <w:t xml:space="preserve">(March 8 - April 17, 2010). </w:t>
      </w:r>
      <w:r w:rsidR="007D3CF0" w:rsidRPr="007D3CF0">
        <w:rPr>
          <w:rFonts w:eastAsia="Times New Roman" w:cs="Times New Roman"/>
          <w:color w:val="000000"/>
          <w:sz w:val="22"/>
        </w:rPr>
        <w:t xml:space="preserve">http://cdiac.ornl.gov/ftp/oceans/CLIVAR/A13.5_2010.data/Underway_data/. Carbon Dioxide Information Analysis Center, Oak Ridge National Laboratory, US Department of </w:t>
      </w:r>
      <w:r w:rsidR="007D3CF0" w:rsidRPr="00B241F9">
        <w:rPr>
          <w:rFonts w:eastAsia="Times New Roman" w:cs="Times New Roman"/>
          <w:color w:val="000000"/>
          <w:sz w:val="22"/>
        </w:rPr>
        <w:t xml:space="preserve"> </w:t>
      </w:r>
      <w:r w:rsidR="007D3CF0" w:rsidRPr="007D3CF0">
        <w:rPr>
          <w:rFonts w:eastAsia="Times New Roman" w:cs="Times New Roman"/>
          <w:color w:val="000000"/>
          <w:sz w:val="22"/>
        </w:rPr>
        <w:t xml:space="preserve">Energy, Oak Ridge, Tennessee. </w:t>
      </w:r>
      <w:proofErr w:type="spellStart"/>
      <w:proofErr w:type="gramStart"/>
      <w:r w:rsidR="007D3CF0" w:rsidRPr="007D3CF0">
        <w:rPr>
          <w:rFonts w:eastAsia="Times New Roman" w:cs="Times New Roman"/>
          <w:color w:val="000000"/>
          <w:sz w:val="22"/>
        </w:rPr>
        <w:t>doi</w:t>
      </w:r>
      <w:proofErr w:type="spellEnd"/>
      <w:proofErr w:type="gramEnd"/>
      <w:r w:rsidR="007D3CF0" w:rsidRPr="007D3CF0">
        <w:rPr>
          <w:rFonts w:eastAsia="Times New Roman" w:cs="Times New Roman"/>
          <w:color w:val="000000"/>
          <w:sz w:val="22"/>
        </w:rPr>
        <w:t>: 10.3334/CDIAC/OTG.CLIVAR_A13.5_2010_UNDERWAY</w:t>
      </w:r>
      <w:r w:rsidR="007D3CF0" w:rsidRPr="00B241F9">
        <w:rPr>
          <w:rFonts w:eastAsia="Times New Roman" w:cs="Times New Roman"/>
          <w:color w:val="000000"/>
          <w:sz w:val="22"/>
        </w:rPr>
        <w:t xml:space="preserve"> </w:t>
      </w:r>
    </w:p>
    <w:sectPr w:rsidR="007D3CF0" w:rsidRPr="00B2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B5"/>
    <w:rsid w:val="000D3C33"/>
    <w:rsid w:val="0011617D"/>
    <w:rsid w:val="0013167B"/>
    <w:rsid w:val="00195E9F"/>
    <w:rsid w:val="002803C8"/>
    <w:rsid w:val="00355A30"/>
    <w:rsid w:val="003646FB"/>
    <w:rsid w:val="003D12AC"/>
    <w:rsid w:val="00431C3B"/>
    <w:rsid w:val="005A44FC"/>
    <w:rsid w:val="006172C4"/>
    <w:rsid w:val="00661399"/>
    <w:rsid w:val="00675279"/>
    <w:rsid w:val="006A128A"/>
    <w:rsid w:val="00710960"/>
    <w:rsid w:val="007D0E80"/>
    <w:rsid w:val="007D3CF0"/>
    <w:rsid w:val="007D61C4"/>
    <w:rsid w:val="00841702"/>
    <w:rsid w:val="0088439C"/>
    <w:rsid w:val="00A2267B"/>
    <w:rsid w:val="00B241F9"/>
    <w:rsid w:val="00B76903"/>
    <w:rsid w:val="00BF2DA4"/>
    <w:rsid w:val="00C224B5"/>
    <w:rsid w:val="00C60230"/>
    <w:rsid w:val="00C936B2"/>
    <w:rsid w:val="00D82258"/>
    <w:rsid w:val="00D97B3C"/>
    <w:rsid w:val="00E4712A"/>
    <w:rsid w:val="00E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3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3CF0"/>
    <w:rPr>
      <w:rFonts w:ascii="Courier New" w:eastAsia="Times New Roman" w:hAnsi="Courier New" w:cs="Courier New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2803C8"/>
    <w:pPr>
      <w:spacing w:after="0" w:line="240" w:lineRule="auto"/>
      <w:contextualSpacing/>
      <w:jc w:val="center"/>
    </w:pPr>
    <w:rPr>
      <w:rFonts w:eastAsiaTheme="minorEastAsia" w:cs="Times New Roman"/>
      <w:color w:val="000000" w:themeColor="text1" w:themeShade="BF"/>
      <w:lang w:eastAsia="ja-JP"/>
    </w:rPr>
  </w:style>
  <w:style w:type="character" w:customStyle="1" w:styleId="TableTextChar">
    <w:name w:val="Table Text Char"/>
    <w:basedOn w:val="DefaultParagraphFont"/>
    <w:link w:val="TableText"/>
    <w:rsid w:val="002803C8"/>
    <w:rPr>
      <w:rFonts w:ascii="Times New Roman" w:eastAsiaTheme="minorEastAsia" w:hAnsi="Times New Roman" w:cs="Times New Roman"/>
      <w:color w:val="000000" w:themeColor="text1" w:themeShade="BF"/>
      <w:sz w:val="24"/>
      <w:lang w:eastAsia="ja-JP"/>
    </w:rPr>
  </w:style>
  <w:style w:type="table" w:styleId="TableGrid">
    <w:name w:val="Table Grid"/>
    <w:basedOn w:val="TableNormal"/>
    <w:uiPriority w:val="39"/>
    <w:rsid w:val="002803C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3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3CF0"/>
    <w:rPr>
      <w:rFonts w:ascii="Courier New" w:eastAsia="Times New Roman" w:hAnsi="Courier New" w:cs="Courier New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2803C8"/>
    <w:pPr>
      <w:spacing w:after="0" w:line="240" w:lineRule="auto"/>
      <w:contextualSpacing/>
      <w:jc w:val="center"/>
    </w:pPr>
    <w:rPr>
      <w:rFonts w:eastAsiaTheme="minorEastAsia" w:cs="Times New Roman"/>
      <w:color w:val="000000" w:themeColor="text1" w:themeShade="BF"/>
      <w:lang w:eastAsia="ja-JP"/>
    </w:rPr>
  </w:style>
  <w:style w:type="character" w:customStyle="1" w:styleId="TableTextChar">
    <w:name w:val="Table Text Char"/>
    <w:basedOn w:val="DefaultParagraphFont"/>
    <w:link w:val="TableText"/>
    <w:rsid w:val="002803C8"/>
    <w:rPr>
      <w:rFonts w:ascii="Times New Roman" w:eastAsiaTheme="minorEastAsia" w:hAnsi="Times New Roman" w:cs="Times New Roman"/>
      <w:color w:val="000000" w:themeColor="text1" w:themeShade="BF"/>
      <w:sz w:val="24"/>
      <w:lang w:eastAsia="ja-JP"/>
    </w:rPr>
  </w:style>
  <w:style w:type="table" w:styleId="TableGrid">
    <w:name w:val="Table Grid"/>
    <w:basedOn w:val="TableNormal"/>
    <w:uiPriority w:val="39"/>
    <w:rsid w:val="002803C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9071-7E72-4F4C-9C34-0403E5C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MBARI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</dc:creator>
  <cp:lastModifiedBy>Yui</cp:lastModifiedBy>
  <cp:revision>24</cp:revision>
  <dcterms:created xsi:type="dcterms:W3CDTF">2017-03-15T17:03:00Z</dcterms:created>
  <dcterms:modified xsi:type="dcterms:W3CDTF">2017-03-20T18:52:00Z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http://www.zotero.org/styles/american-geophysical-union</vt:lpwstr>
  </property>
  <property fmtid="{D5CDD505-2E9C-101B-9397-08002B2CF9AE}" pid="3" name="Mendeley Recent Style Name 0_1">
    <vt:lpwstr>American Geophysical Union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e573f586-9254-36d7-8d10-d2e9835b575a</vt:lpwstr>
  </property>
  <property fmtid="{D5CDD505-2E9C-101B-9397-08002B2CF9AE}" pid="24" name="Mendeley Citation Style_1">
    <vt:lpwstr>http://www.zotero.org/styles/american-geophysical-union</vt:lpwstr>
  </property>
</Properties>
</file>